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0BC502C" w14:textId="50D8E310" w:rsidR="008A4A6F" w:rsidRPr="00E34BF2" w:rsidRDefault="008A4A6F" w:rsidP="008A4A6F">
      <w:pPr>
        <w:pStyle w:val="Header"/>
        <w:tabs>
          <w:tab w:val="left" w:pos="2160"/>
        </w:tabs>
        <w:ind w:left="2127" w:hanging="2127"/>
        <w:jc w:val="both"/>
        <w:rPr>
          <w:rFonts w:ascii="Arial" w:hAnsi="Arial" w:cs="Arial"/>
          <w:noProof w:val="0"/>
          <w:sz w:val="22"/>
        </w:rPr>
      </w:pPr>
      <w:bookmarkStart w:id="0" w:name="OLE_LINK5"/>
      <w:r w:rsidRPr="0083294C">
        <w:rPr>
          <w:rFonts w:ascii="Arial" w:hAnsi="Arial" w:cs="Arial"/>
          <w:noProof w:val="0"/>
          <w:sz w:val="22"/>
        </w:rPr>
        <w:t>3GPP TSG-RAN WG4 Meeting</w:t>
      </w:r>
      <w:r w:rsidR="00F952AE">
        <w:rPr>
          <w:rFonts w:ascii="Arial" w:hAnsi="Arial" w:cs="Arial"/>
          <w:noProof w:val="0"/>
          <w:sz w:val="22"/>
        </w:rPr>
        <w:t xml:space="preserve"> </w:t>
      </w:r>
      <w:r w:rsidR="004F3ABB">
        <w:rPr>
          <w:rFonts w:ascii="Arial" w:hAnsi="Arial" w:cs="Arial"/>
          <w:noProof w:val="0"/>
          <w:sz w:val="22"/>
        </w:rPr>
        <w:t>NR</w:t>
      </w:r>
      <w:r w:rsidR="001E48BD">
        <w:rPr>
          <w:rFonts w:ascii="Arial" w:hAnsi="Arial" w:cs="Arial"/>
          <w:noProof w:val="0"/>
          <w:sz w:val="22"/>
        </w:rPr>
        <w:t xml:space="preserve"> </w:t>
      </w:r>
      <w:r w:rsidR="004F3ABB">
        <w:rPr>
          <w:rFonts w:ascii="Arial" w:hAnsi="Arial" w:cs="Arial"/>
          <w:noProof w:val="0"/>
          <w:sz w:val="22"/>
        </w:rPr>
        <w:t>#2</w:t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>
        <w:rPr>
          <w:rFonts w:ascii="Arial" w:hAnsi="Arial" w:cs="Arial"/>
          <w:noProof w:val="0"/>
          <w:sz w:val="22"/>
        </w:rPr>
        <w:tab/>
      </w:r>
      <w:r w:rsidR="004F3ABB">
        <w:rPr>
          <w:rFonts w:ascii="Arial" w:hAnsi="Arial" w:cs="Arial"/>
          <w:noProof w:val="0"/>
          <w:sz w:val="22"/>
        </w:rPr>
        <w:tab/>
      </w:r>
      <w:r w:rsidR="00435DC8">
        <w:rPr>
          <w:rFonts w:ascii="Arial" w:hAnsi="Arial" w:cs="Arial"/>
          <w:noProof w:val="0"/>
          <w:sz w:val="22"/>
        </w:rPr>
        <w:tab/>
        <w:t xml:space="preserve">   </w:t>
      </w:r>
      <w:r w:rsidR="00E34BF2" w:rsidRPr="00E34BF2">
        <w:rPr>
          <w:rFonts w:ascii="Arial" w:hAnsi="Arial" w:cs="Arial"/>
          <w:noProof w:val="0"/>
          <w:sz w:val="22"/>
        </w:rPr>
        <w:t>R4-1708305</w:t>
      </w:r>
      <w:bookmarkStart w:id="1" w:name="_GoBack"/>
      <w:bookmarkEnd w:id="1"/>
    </w:p>
    <w:p w14:paraId="135C89D8" w14:textId="11A20A8E" w:rsidR="008A4A6F" w:rsidRPr="0083294C" w:rsidRDefault="002F5416" w:rsidP="008A4A6F">
      <w:pPr>
        <w:pStyle w:val="CRCoverPage"/>
        <w:tabs>
          <w:tab w:val="right" w:pos="9639"/>
        </w:tabs>
        <w:spacing w:after="0"/>
        <w:rPr>
          <w:rFonts w:ascii="Arial" w:hAnsi="Arial" w:cs="Arial"/>
          <w:b/>
          <w:sz w:val="22"/>
          <w:lang w:eastAsia="zh-CN"/>
        </w:rPr>
      </w:pPr>
      <w:r>
        <w:rPr>
          <w:rFonts w:ascii="Arial" w:hAnsi="Arial" w:cs="Arial"/>
          <w:b/>
          <w:sz w:val="22"/>
        </w:rPr>
        <w:t>Berlin</w:t>
      </w:r>
      <w:r w:rsidR="008A4A6F" w:rsidRPr="0083294C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Germany</w:t>
      </w:r>
      <w:r w:rsidR="008A4A6F">
        <w:rPr>
          <w:rFonts w:ascii="Arial" w:hAnsi="Arial" w:cs="Arial"/>
          <w:b/>
          <w:sz w:val="22"/>
        </w:rPr>
        <w:t xml:space="preserve">, </w:t>
      </w:r>
      <w:r>
        <w:rPr>
          <w:rFonts w:ascii="Arial" w:hAnsi="Arial" w:cs="Arial"/>
          <w:b/>
          <w:sz w:val="22"/>
        </w:rPr>
        <w:t>21</w:t>
      </w:r>
      <w:r w:rsidR="00650562">
        <w:rPr>
          <w:rFonts w:ascii="Arial" w:hAnsi="Arial" w:cs="Arial"/>
          <w:b/>
          <w:sz w:val="22"/>
          <w:vertAlign w:val="superscript"/>
        </w:rPr>
        <w:t>st</w:t>
      </w:r>
      <w:r w:rsidR="008A4A6F">
        <w:rPr>
          <w:rFonts w:ascii="Arial" w:hAnsi="Arial" w:cs="Arial"/>
          <w:b/>
          <w:sz w:val="22"/>
        </w:rPr>
        <w:t xml:space="preserve"> </w:t>
      </w:r>
      <w:r w:rsidR="00C446D3">
        <w:rPr>
          <w:rFonts w:ascii="Arial" w:hAnsi="Arial" w:cs="Arial"/>
          <w:b/>
          <w:sz w:val="22"/>
        </w:rPr>
        <w:t xml:space="preserve">– </w:t>
      </w:r>
      <w:r w:rsidR="004F3ABB">
        <w:rPr>
          <w:rFonts w:ascii="Arial" w:hAnsi="Arial" w:cs="Arial"/>
          <w:b/>
          <w:sz w:val="22"/>
        </w:rPr>
        <w:t>2</w:t>
      </w:r>
      <w:r>
        <w:rPr>
          <w:rFonts w:ascii="Arial" w:hAnsi="Arial" w:cs="Arial"/>
          <w:b/>
          <w:sz w:val="22"/>
        </w:rPr>
        <w:t>5</w:t>
      </w:r>
      <w:r w:rsidR="008A4A6F" w:rsidRPr="0083294C">
        <w:rPr>
          <w:rFonts w:ascii="Arial" w:hAnsi="Arial" w:cs="Arial"/>
          <w:b/>
          <w:sz w:val="22"/>
          <w:vertAlign w:val="superscript"/>
        </w:rPr>
        <w:t>th</w:t>
      </w:r>
      <w:r w:rsidR="008A4A6F" w:rsidRPr="0083294C">
        <w:rPr>
          <w:rFonts w:ascii="Arial" w:hAnsi="Arial" w:cs="Arial"/>
          <w:b/>
          <w:sz w:val="22"/>
        </w:rPr>
        <w:t xml:space="preserve"> </w:t>
      </w:r>
      <w:r>
        <w:rPr>
          <w:rFonts w:ascii="Arial" w:hAnsi="Arial" w:cs="Arial"/>
          <w:b/>
          <w:sz w:val="22"/>
        </w:rPr>
        <w:t>August</w:t>
      </w:r>
      <w:r w:rsidR="008A4A6F" w:rsidRPr="0083294C">
        <w:rPr>
          <w:rFonts w:ascii="Arial" w:hAnsi="Arial" w:cs="Arial"/>
          <w:b/>
          <w:sz w:val="22"/>
        </w:rPr>
        <w:t>, 2017</w:t>
      </w:r>
    </w:p>
    <w:bookmarkEnd w:id="0"/>
    <w:p w14:paraId="6020DF7C" w14:textId="77777777" w:rsidR="008A4A6F" w:rsidRPr="0083294C" w:rsidRDefault="008A4A6F" w:rsidP="008A4A6F">
      <w:pPr>
        <w:pStyle w:val="Footer"/>
        <w:jc w:val="both"/>
        <w:rPr>
          <w:rFonts w:ascii="Arial" w:hAnsi="Arial" w:cs="Arial"/>
          <w:noProof w:val="0"/>
          <w:lang w:val="en-GB"/>
        </w:rPr>
      </w:pPr>
    </w:p>
    <w:p w14:paraId="682A84D7" w14:textId="66E0E9A6" w:rsidR="008A4A6F" w:rsidRPr="008C1233" w:rsidRDefault="008A4A6F" w:rsidP="009630B9">
      <w:pPr>
        <w:ind w:left="2100" w:hanging="210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Title:</w:t>
      </w:r>
      <w:r w:rsidR="009630B9">
        <w:rPr>
          <w:rFonts w:ascii="Arial" w:hAnsi="Arial" w:cs="Arial"/>
          <w:sz w:val="24"/>
        </w:rPr>
        <w:t xml:space="preserve"> </w:t>
      </w:r>
      <w:r w:rsidR="009630B9">
        <w:rPr>
          <w:rFonts w:ascii="Arial" w:hAnsi="Arial" w:cs="Arial"/>
          <w:sz w:val="24"/>
        </w:rPr>
        <w:tab/>
      </w:r>
      <w:r w:rsidR="008C1233" w:rsidRPr="008C1233">
        <w:rPr>
          <w:rFonts w:ascii="Arial" w:hAnsi="Arial" w:cs="Arial"/>
          <w:sz w:val="24"/>
        </w:rPr>
        <w:t xml:space="preserve">Discussion on definitions of </w:t>
      </w:r>
      <w:r w:rsidR="001042B1">
        <w:rPr>
          <w:rFonts w:ascii="Arial" w:hAnsi="Arial" w:cs="Arial"/>
          <w:sz w:val="24"/>
        </w:rPr>
        <w:t>SSTD</w:t>
      </w:r>
      <w:r w:rsidR="008C1233" w:rsidRPr="008C1233">
        <w:rPr>
          <w:rFonts w:ascii="Arial" w:hAnsi="Arial" w:cs="Arial"/>
          <w:sz w:val="24"/>
        </w:rPr>
        <w:t xml:space="preserve"> measurements</w:t>
      </w:r>
    </w:p>
    <w:p w14:paraId="4237226B" w14:textId="77777777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 xml:space="preserve">Source: </w:t>
      </w:r>
      <w:r w:rsidRPr="0083294C">
        <w:rPr>
          <w:rFonts w:ascii="Arial" w:hAnsi="Arial" w:cs="Arial"/>
          <w:b/>
          <w:sz w:val="24"/>
        </w:rPr>
        <w:tab/>
      </w:r>
      <w:r w:rsidR="005063D2">
        <w:rPr>
          <w:rFonts w:ascii="Arial" w:hAnsi="Arial" w:cs="Arial"/>
          <w:b/>
          <w:sz w:val="24"/>
        </w:rPr>
        <w:tab/>
      </w:r>
      <w:r w:rsidRPr="0083294C">
        <w:rPr>
          <w:rFonts w:ascii="Arial" w:hAnsi="Arial" w:cs="Arial"/>
          <w:sz w:val="24"/>
        </w:rPr>
        <w:t>Huawei, HiSilicon</w:t>
      </w:r>
    </w:p>
    <w:p w14:paraId="58303571" w14:textId="55542B80" w:rsidR="008A4A6F" w:rsidRPr="0083294C" w:rsidRDefault="008A4A6F" w:rsidP="008A4A6F">
      <w:pPr>
        <w:tabs>
          <w:tab w:val="left" w:pos="1985"/>
        </w:tabs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Agenda item: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027C7C">
        <w:rPr>
          <w:rFonts w:ascii="Arial" w:hAnsi="Arial" w:cs="Arial"/>
          <w:sz w:val="24"/>
        </w:rPr>
        <w:t>9.6.5</w:t>
      </w:r>
    </w:p>
    <w:p w14:paraId="4C7F1055" w14:textId="77777777" w:rsidR="008A4A6F" w:rsidRPr="0083294C" w:rsidRDefault="008A4A6F" w:rsidP="008A4A6F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</w:rPr>
      </w:pPr>
      <w:r w:rsidRPr="0083294C">
        <w:rPr>
          <w:rFonts w:ascii="Arial" w:hAnsi="Arial" w:cs="Arial"/>
          <w:b/>
          <w:sz w:val="24"/>
        </w:rPr>
        <w:t>Document for:</w:t>
      </w:r>
      <w:r w:rsidRPr="0083294C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="005063D2">
        <w:rPr>
          <w:rFonts w:ascii="Arial" w:hAnsi="Arial" w:cs="Arial"/>
          <w:sz w:val="24"/>
        </w:rPr>
        <w:tab/>
      </w:r>
      <w:r w:rsidRPr="0083294C">
        <w:rPr>
          <w:rFonts w:ascii="Arial" w:hAnsi="Arial" w:cs="Arial"/>
          <w:sz w:val="24"/>
        </w:rPr>
        <w:t>Discussion</w:t>
      </w:r>
    </w:p>
    <w:p w14:paraId="41A27661" w14:textId="77777777" w:rsidR="00C81E8E" w:rsidRPr="00C560A6" w:rsidRDefault="00C81E8E" w:rsidP="00C81E8E">
      <w:pPr>
        <w:pStyle w:val="Heading1"/>
        <w:jc w:val="both"/>
        <w:rPr>
          <w:rFonts w:ascii="Arial" w:hAnsi="Arial" w:cs="Arial"/>
          <w:lang w:val="en-US"/>
        </w:rPr>
      </w:pPr>
      <w:r w:rsidRPr="00C560A6">
        <w:rPr>
          <w:rFonts w:ascii="Arial" w:hAnsi="Arial" w:cs="Arial"/>
          <w:lang w:val="en-US"/>
        </w:rPr>
        <w:t>Introduction</w:t>
      </w:r>
    </w:p>
    <w:p w14:paraId="06F17E7F" w14:textId="54C3D25A" w:rsidR="00C81E8E" w:rsidRDefault="002F5416" w:rsidP="00C81E8E">
      <w:pPr>
        <w:jc w:val="both"/>
      </w:pPr>
      <w:r>
        <w:t xml:space="preserve">Definition of </w:t>
      </w:r>
      <w:r w:rsidR="00C92C08" w:rsidRPr="008D619F">
        <w:rPr>
          <w:rFonts w:eastAsia="MS Mincho" w:hint="eastAsia"/>
          <w:lang w:eastAsia="ja-JP"/>
        </w:rPr>
        <w:t xml:space="preserve">SFN and subframe timing </w:t>
      </w:r>
      <w:r w:rsidR="00C92C08">
        <w:rPr>
          <w:rFonts w:eastAsia="MS Mincho" w:hint="eastAsia"/>
          <w:lang w:eastAsia="ja-JP"/>
        </w:rPr>
        <w:t>difference</w:t>
      </w:r>
      <w:r w:rsidR="00C92C08" w:rsidRPr="008D619F">
        <w:rPr>
          <w:rFonts w:eastAsia="MS Mincho" w:hint="eastAsia"/>
          <w:lang w:eastAsia="ja-JP"/>
        </w:rPr>
        <w:t xml:space="preserve"> (SSTD)</w:t>
      </w:r>
      <w:r w:rsidR="00C92C08">
        <w:t xml:space="preserve"> </w:t>
      </w:r>
      <w:r>
        <w:t>measurement for LTE NR dual connectivity</w:t>
      </w:r>
      <w:r w:rsidR="00E35F34">
        <w:t xml:space="preserve"> (DC)</w:t>
      </w:r>
      <w:r>
        <w:rPr>
          <w:rFonts w:hint="eastAsia"/>
        </w:rPr>
        <w:t xml:space="preserve"> </w:t>
      </w:r>
      <w:r w:rsidR="002163AB">
        <w:rPr>
          <w:rFonts w:hint="eastAsia"/>
        </w:rPr>
        <w:t xml:space="preserve">was discussed </w:t>
      </w:r>
      <w:r>
        <w:rPr>
          <w:rFonts w:hint="eastAsia"/>
        </w:rPr>
        <w:t>in Qingdao</w:t>
      </w:r>
      <w:r w:rsidR="002163AB">
        <w:rPr>
          <w:rFonts w:hint="eastAsia"/>
        </w:rPr>
        <w:t xml:space="preserve"> RAN4 </w:t>
      </w:r>
      <w:r>
        <w:t>ad-hoc</w:t>
      </w:r>
      <w:r w:rsidR="002163AB">
        <w:rPr>
          <w:rFonts w:hint="eastAsia"/>
        </w:rPr>
        <w:t xml:space="preserve"> meeting </w:t>
      </w:r>
      <w:r w:rsidR="002163AB">
        <w:fldChar w:fldCharType="begin"/>
      </w:r>
      <w:r w:rsidR="002163AB">
        <w:instrText xml:space="preserve"> </w:instrText>
      </w:r>
      <w:r w:rsidR="002163AB">
        <w:rPr>
          <w:rFonts w:hint="eastAsia"/>
        </w:rPr>
        <w:instrText>REF _Ref480902077 \h</w:instrText>
      </w:r>
      <w:r w:rsidR="002163AB">
        <w:instrText xml:space="preserve"> </w:instrText>
      </w:r>
      <w:r w:rsidR="002163AB">
        <w:fldChar w:fldCharType="separate"/>
      </w:r>
      <w:r w:rsidR="002163AB" w:rsidRPr="0073243D">
        <w:rPr>
          <w:rFonts w:cs="Times New Roman"/>
        </w:rPr>
        <w:t>[</w:t>
      </w:r>
      <w:r w:rsidR="002163AB">
        <w:rPr>
          <w:rFonts w:cs="Times New Roman"/>
          <w:noProof/>
        </w:rPr>
        <w:t>1</w:t>
      </w:r>
      <w:r w:rsidR="002163AB">
        <w:fldChar w:fldCharType="end"/>
      </w:r>
      <w:r w:rsidR="002163AB">
        <w:t>]</w:t>
      </w:r>
      <w:r w:rsidR="002163AB">
        <w:rPr>
          <w:rFonts w:hint="eastAsia"/>
        </w:rPr>
        <w:t>.</w:t>
      </w:r>
      <w:r w:rsidR="002163AB">
        <w:t xml:space="preserve"> However, little p</w:t>
      </w:r>
      <w:r>
        <w:t xml:space="preserve">rogress was made in this topic. </w:t>
      </w:r>
      <w:r w:rsidR="002163AB">
        <w:t xml:space="preserve">How to proceed the </w:t>
      </w:r>
      <w:r>
        <w:t>definition</w:t>
      </w:r>
      <w:r w:rsidR="002163AB">
        <w:t xml:space="preserve"> was finally captured in the approved WF </w:t>
      </w:r>
      <w:r w:rsidR="002163AB">
        <w:fldChar w:fldCharType="begin"/>
      </w:r>
      <w:r w:rsidR="002163AB">
        <w:instrText xml:space="preserve"> REF _Ref484608811 \h </w:instrText>
      </w:r>
      <w:r w:rsidR="002163AB">
        <w:fldChar w:fldCharType="separate"/>
      </w:r>
      <w:r w:rsidR="002163AB">
        <w:rPr>
          <w:rFonts w:eastAsia="Gill Sans MT Pro Light" w:cs="Times New Roman"/>
          <w:lang w:val="en-GB"/>
        </w:rPr>
        <w:t>[</w:t>
      </w:r>
      <w:r w:rsidR="002163AB">
        <w:rPr>
          <w:rFonts w:eastAsia="Gill Sans MT Pro Light" w:cs="Times New Roman"/>
          <w:noProof/>
          <w:lang w:val="en-GB"/>
        </w:rPr>
        <w:t>2</w:t>
      </w:r>
      <w:r w:rsidR="002163AB">
        <w:fldChar w:fldCharType="end"/>
      </w:r>
      <w:r w:rsidR="002163AB">
        <w:t>]: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2163AB" w14:paraId="5DE15451" w14:textId="77777777" w:rsidTr="002163AB">
        <w:tc>
          <w:tcPr>
            <w:tcW w:w="8296" w:type="dxa"/>
          </w:tcPr>
          <w:p w14:paraId="5CC1AA97" w14:textId="128C79BD" w:rsidR="002163AB" w:rsidRDefault="002F5416" w:rsidP="002163AB">
            <w:pPr>
              <w:jc w:val="both"/>
              <w:rPr>
                <w:b/>
              </w:rPr>
            </w:pPr>
            <w:r>
              <w:rPr>
                <w:b/>
              </w:rPr>
              <w:t>1.3</w:t>
            </w:r>
            <w:r w:rsidR="002163AB" w:rsidRPr="002163AB">
              <w:rPr>
                <w:b/>
              </w:rPr>
              <w:tab/>
            </w:r>
            <w:r w:rsidRPr="002F5416">
              <w:rPr>
                <w:b/>
              </w:rPr>
              <w:t>SSTD requirements for LTE NR dual connectivity</w:t>
            </w:r>
          </w:p>
          <w:p w14:paraId="677545BF" w14:textId="77777777" w:rsidR="002F5416" w:rsidRDefault="002F5416" w:rsidP="002F5416">
            <w:r>
              <w:t>Contributions are invited from interested companies covering</w:t>
            </w:r>
          </w:p>
          <w:p w14:paraId="19018F06" w14:textId="77777777" w:rsidR="002F5416" w:rsidRDefault="002F5416" w:rsidP="002F5416">
            <w:pPr>
              <w:numPr>
                <w:ilvl w:val="0"/>
                <w:numId w:val="9"/>
              </w:numPr>
            </w:pPr>
            <w:r>
              <w:t>Motivation to define SSTD measurement for LTE NR dual connectivity</w:t>
            </w:r>
          </w:p>
          <w:p w14:paraId="669E6962" w14:textId="77777777" w:rsidR="002F5416" w:rsidRDefault="002F5416" w:rsidP="002F5416">
            <w:pPr>
              <w:numPr>
                <w:ilvl w:val="0"/>
                <w:numId w:val="9"/>
              </w:numPr>
            </w:pPr>
            <w:r>
              <w:t>Analysis of UE complexity for SSTD measurement</w:t>
            </w:r>
          </w:p>
          <w:p w14:paraId="15F11C8F" w14:textId="7FAFF927" w:rsidR="002163AB" w:rsidRPr="002163AB" w:rsidRDefault="002F5416" w:rsidP="002F5416">
            <w:pPr>
              <w:numPr>
                <w:ilvl w:val="0"/>
                <w:numId w:val="9"/>
              </w:numPr>
            </w:pPr>
            <w:r>
              <w:t>Definition of SSTD</w:t>
            </w:r>
          </w:p>
        </w:tc>
      </w:tr>
    </w:tbl>
    <w:p w14:paraId="5830967A" w14:textId="55C6F1A3" w:rsidR="002163AB" w:rsidRDefault="002163AB" w:rsidP="00C81E8E">
      <w:pPr>
        <w:jc w:val="both"/>
      </w:pPr>
      <w:r>
        <w:t>I</w:t>
      </w:r>
      <w:r>
        <w:rPr>
          <w:rFonts w:hint="eastAsia"/>
        </w:rPr>
        <w:t xml:space="preserve">n </w:t>
      </w:r>
      <w:r>
        <w:t xml:space="preserve">this contribution, we provide our </w:t>
      </w:r>
      <w:r w:rsidR="002D68F7">
        <w:t>consideration</w:t>
      </w:r>
      <w:r>
        <w:t xml:space="preserve"> on definition of </w:t>
      </w:r>
      <w:r w:rsidR="00EE3680">
        <w:t>SSTD</w:t>
      </w:r>
      <w:r w:rsidR="00085D33">
        <w:t xml:space="preserve"> measurement</w:t>
      </w:r>
      <w:r>
        <w:t xml:space="preserve">. </w:t>
      </w:r>
    </w:p>
    <w:p w14:paraId="798E7792" w14:textId="3914DA9E" w:rsidR="00C81E8E" w:rsidRPr="00C560A6" w:rsidRDefault="00924E6F" w:rsidP="00C81E8E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Backgrounds </w:t>
      </w:r>
      <w:r w:rsidR="00085D33">
        <w:rPr>
          <w:rFonts w:ascii="Arial" w:hAnsi="Arial" w:cs="Arial"/>
          <w:lang w:val="en-US"/>
        </w:rPr>
        <w:t xml:space="preserve">of </w:t>
      </w:r>
      <w:r>
        <w:rPr>
          <w:rFonts w:ascii="Arial" w:hAnsi="Arial" w:cs="Arial"/>
          <w:lang w:val="en-US"/>
        </w:rPr>
        <w:t>SSTD measurement</w:t>
      </w:r>
    </w:p>
    <w:p w14:paraId="0F7F15A9" w14:textId="3DF3900F" w:rsidR="0097202C" w:rsidRDefault="00085D33" w:rsidP="00C81E8E">
      <w:pPr>
        <w:rPr>
          <w:rFonts w:cs="Arial"/>
          <w:lang w:eastAsia="en-US"/>
        </w:rPr>
      </w:pPr>
      <w:r>
        <w:rPr>
          <w:rFonts w:cs="Arial"/>
          <w:lang w:eastAsia="en-US"/>
        </w:rPr>
        <w:t xml:space="preserve">In the LTE the corresponding definitions of </w:t>
      </w:r>
      <w:r w:rsidR="00C92C08">
        <w:rPr>
          <w:rFonts w:cs="Arial"/>
          <w:lang w:eastAsia="en-US"/>
        </w:rPr>
        <w:t>SSTD</w:t>
      </w:r>
      <w:r>
        <w:rPr>
          <w:rFonts w:cs="Arial"/>
          <w:lang w:eastAsia="en-US"/>
        </w:rPr>
        <w:t xml:space="preserve"> mea</w:t>
      </w:r>
      <w:r w:rsidR="00C92C08">
        <w:rPr>
          <w:rFonts w:cs="Arial"/>
          <w:lang w:eastAsia="en-US"/>
        </w:rPr>
        <w:t>surement are specifie</w:t>
      </w:r>
      <w:r w:rsidR="00993613">
        <w:rPr>
          <w:rFonts w:cs="Arial"/>
          <w:lang w:eastAsia="en-US"/>
        </w:rPr>
        <w:t>d in [3]</w:t>
      </w:r>
      <w:r w:rsidR="003C5B1E">
        <w:rPr>
          <w:rFonts w:cs="Arial"/>
          <w:lang w:eastAsia="en-US"/>
        </w:rPr>
        <w:t>, which are duplicated here</w:t>
      </w:r>
      <w:r w:rsidR="00FE6730">
        <w:rPr>
          <w:rFonts w:cs="Arial"/>
          <w:lang w:eastAsia="en-US"/>
        </w:rPr>
        <w:t xml:space="preserve"> for </w:t>
      </w:r>
      <w:r w:rsidR="00FE6730" w:rsidRPr="00FE6730">
        <w:rPr>
          <w:lang w:eastAsia="en-US"/>
        </w:rPr>
        <w:t>convenience</w:t>
      </w:r>
      <w:r w:rsidR="003C5B1E">
        <w:rPr>
          <w:rFonts w:cs="Arial"/>
          <w:lang w:eastAsia="en-US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6741"/>
      </w:tblGrid>
      <w:tr w:rsidR="00FE6730" w14:paraId="6F2BB26A" w14:textId="77777777" w:rsidTr="00FE6730">
        <w:tc>
          <w:tcPr>
            <w:tcW w:w="1555" w:type="dxa"/>
          </w:tcPr>
          <w:p w14:paraId="7FF94DF9" w14:textId="69736D62" w:rsidR="00FE6730" w:rsidRDefault="00FE6730" w:rsidP="00C81E8E">
            <w:pPr>
              <w:rPr>
                <w:rFonts w:cs="Arial"/>
                <w:lang w:eastAsia="en-US"/>
              </w:rPr>
            </w:pPr>
            <w:r w:rsidRPr="00FE6730">
              <w:rPr>
                <w:rFonts w:ascii="Arial" w:eastAsiaTheme="minorEastAsia" w:hAnsi="Arial" w:cs="Arial"/>
                <w:b/>
                <w:sz w:val="18"/>
                <w:lang w:val="en-GB" w:eastAsia="en-US"/>
              </w:rPr>
              <w:t>Definition</w:t>
            </w:r>
          </w:p>
        </w:tc>
        <w:tc>
          <w:tcPr>
            <w:tcW w:w="6741" w:type="dxa"/>
          </w:tcPr>
          <w:p w14:paraId="7A145C72" w14:textId="77777777" w:rsidR="00FE6730" w:rsidRPr="001B493D" w:rsidRDefault="00FE6730" w:rsidP="00FE6730">
            <w:pPr>
              <w:pStyle w:val="TAL"/>
              <w:rPr>
                <w:rFonts w:cs="Arial"/>
                <w:lang w:eastAsia="ja-JP"/>
              </w:rPr>
            </w:pPr>
            <w:r w:rsidRPr="001B493D">
              <w:rPr>
                <w:rFonts w:cs="Arial"/>
                <w:lang w:eastAsia="ja-JP"/>
              </w:rPr>
              <w:t xml:space="preserve">The </w:t>
            </w:r>
            <w:r>
              <w:rPr>
                <w:rFonts w:cs="Arial"/>
                <w:lang w:eastAsia="ja-JP"/>
              </w:rPr>
              <w:t xml:space="preserve">observed </w:t>
            </w:r>
            <w:r w:rsidRPr="001B493D">
              <w:rPr>
                <w:rFonts w:cs="Arial"/>
              </w:rPr>
              <w:t>SFN and subframe timing difference (SSTD)</w:t>
            </w:r>
            <w:r w:rsidRPr="001B493D">
              <w:rPr>
                <w:rFonts w:cs="Arial"/>
                <w:lang w:eastAsia="ja-JP"/>
              </w:rPr>
              <w:t xml:space="preserve"> </w:t>
            </w:r>
            <w:r>
              <w:rPr>
                <w:rFonts w:cs="Arial"/>
                <w:lang w:eastAsia="ja-JP"/>
              </w:rPr>
              <w:t xml:space="preserve">between a PCell and a PSCell </w:t>
            </w:r>
            <w:r w:rsidRPr="001B493D">
              <w:rPr>
                <w:rFonts w:cs="Arial"/>
                <w:lang w:eastAsia="ja-JP"/>
              </w:rPr>
              <w:t xml:space="preserve">is defined as </w:t>
            </w:r>
            <w:r>
              <w:rPr>
                <w:rFonts w:cs="Arial"/>
                <w:lang w:eastAsia="ja-JP"/>
              </w:rPr>
              <w:t xml:space="preserve">consisting of the </w:t>
            </w:r>
            <w:r w:rsidRPr="001B493D">
              <w:rPr>
                <w:rFonts w:cs="Arial"/>
                <w:lang w:eastAsia="ja-JP"/>
              </w:rPr>
              <w:t>following three components;</w:t>
            </w:r>
          </w:p>
          <w:p w14:paraId="7A2B85A9" w14:textId="77777777" w:rsidR="00FE6730" w:rsidRPr="00AB4CEC" w:rsidRDefault="00FE6730" w:rsidP="00FE6730">
            <w:pPr>
              <w:pStyle w:val="B1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>
              <w:rPr>
                <w:lang w:eastAsia="ja-JP"/>
              </w:rPr>
              <w:t>-</w:t>
            </w:r>
            <w:r>
              <w:rPr>
                <w:lang w:eastAsia="ja-JP"/>
              </w:rPr>
              <w:tab/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SFN offset = (SFN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SFN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) mod 1024, where SFN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a PCell radio frame and SFN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PSCell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SFN of the PSCell radio frame of which the UE receives the start closest in time to the time when it receives the start of the PCell radio frame.</w:t>
            </w:r>
          </w:p>
          <w:p w14:paraId="72B39529" w14:textId="77777777" w:rsidR="00FE6730" w:rsidRPr="00AB4CEC" w:rsidRDefault="00FE6730" w:rsidP="00FE6730">
            <w:pPr>
              <w:pStyle w:val="B1"/>
              <w:rPr>
                <w:rFonts w:ascii="Arial" w:hAnsi="Arial" w:cs="Arial"/>
                <w:sz w:val="18"/>
                <w:szCs w:val="18"/>
                <w:lang w:val="en-US" w:eastAsia="ja-JP"/>
              </w:rPr>
            </w:pP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Frame boundary offset = </w:t>
            </w:r>
            <w:r w:rsidRPr="00AB4CEC">
              <w:rPr>
                <w:rFonts w:ascii="Arial" w:hAnsi="Arial" w:cs="Arial"/>
                <w:position w:val="-12"/>
                <w:sz w:val="18"/>
                <w:szCs w:val="18"/>
                <w:lang w:eastAsia="ja-JP"/>
              </w:rPr>
              <w:object w:dxaOrig="3840" w:dyaOrig="320" w14:anchorId="30C11376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2.6pt;height:15.9pt" o:ole="">
                  <v:imagedata r:id="rId8" o:title=""/>
                </v:shape>
                <o:OLEObject Type="Embed" ProgID="Equation.3" ShapeID="_x0000_i1025" DrawAspect="Content" ObjectID="_1563992534" r:id="rId9"/>
              </w:objec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radio frame from the PCell and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lastRenderedPageBreak/>
              <w:t xml:space="preserve">radio frame of PSCell that is closest in time to the radio frame received from the PCell. The unit of </w:t>
            </w:r>
            <w:r w:rsidRPr="00AB4CEC">
              <w:rPr>
                <w:rFonts w:ascii="Arial" w:hAnsi="Arial" w:cs="Arial"/>
                <w:sz w:val="18"/>
                <w:szCs w:val="18"/>
                <w:lang w:val="en-US" w:eastAsia="ja-JP"/>
              </w:rPr>
              <w:t>(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FrameBoundaryPSCell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) is [</w:t>
            </w:r>
            <w:r w:rsidRPr="00AB4CEC">
              <w:rPr>
                <w:rFonts w:ascii="Arial" w:hAnsi="Arial" w:cs="Arial"/>
                <w:sz w:val="18"/>
                <w:szCs w:val="18"/>
                <w:lang w:val="en-US" w:eastAsia="ja-JP"/>
              </w:rPr>
              <w:t>µs].</w:t>
            </w:r>
          </w:p>
          <w:p w14:paraId="6E6E2DF8" w14:textId="77777777" w:rsidR="00FE6730" w:rsidRPr="00AB4CEC" w:rsidRDefault="00FE6730" w:rsidP="00FE6730">
            <w:pPr>
              <w:pStyle w:val="B1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-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>Subframe boundary offset =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SubframePCell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-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SubframePSCell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>, where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SubframePCell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a subframe from the PCell and T</w:t>
            </w:r>
            <w:r w:rsidRPr="00AB4CEC">
              <w:rPr>
                <w:rFonts w:ascii="Arial" w:hAnsi="Arial" w:cs="Arial"/>
                <w:sz w:val="18"/>
                <w:szCs w:val="18"/>
                <w:vertAlign w:val="subscript"/>
                <w:lang w:eastAsia="ja-JP"/>
              </w:rPr>
              <w:t>SubframePSCell</w:t>
            </w:r>
            <w:r w:rsidRPr="00AB4CEC">
              <w:rPr>
                <w:rFonts w:ascii="Arial" w:hAnsi="Arial" w:cs="Arial"/>
                <w:sz w:val="18"/>
                <w:szCs w:val="18"/>
                <w:lang w:eastAsia="ja-JP"/>
              </w:rPr>
              <w:t xml:space="preserve"> is the time when the UE receives the start of the subframe from the PSCell that is closest in time to the subframe received from the PCell.</w:t>
            </w:r>
          </w:p>
          <w:p w14:paraId="1A3144DE" w14:textId="13E6687A" w:rsidR="00FE6730" w:rsidRDefault="00FE6730" w:rsidP="00FE6730">
            <w:pPr>
              <w:rPr>
                <w:rFonts w:cs="Arial"/>
                <w:lang w:eastAsia="en-US"/>
              </w:rPr>
            </w:pPr>
            <w:r w:rsidRPr="00FE6730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The reference point for the observed SFN and subframe time difference shall be the antenna connector of the UE.</w:t>
            </w:r>
          </w:p>
        </w:tc>
      </w:tr>
      <w:tr w:rsidR="00FE6730" w14:paraId="13F0A914" w14:textId="77777777" w:rsidTr="00FE6730">
        <w:tc>
          <w:tcPr>
            <w:tcW w:w="1555" w:type="dxa"/>
          </w:tcPr>
          <w:p w14:paraId="7A688E6E" w14:textId="4739AB97" w:rsidR="00FE6730" w:rsidRDefault="00FE6730" w:rsidP="00C81E8E">
            <w:pPr>
              <w:rPr>
                <w:rFonts w:cs="Arial"/>
                <w:lang w:eastAsia="en-US"/>
              </w:rPr>
            </w:pPr>
            <w:r w:rsidRPr="00FE6730">
              <w:rPr>
                <w:rFonts w:ascii="Arial" w:eastAsiaTheme="minorEastAsia" w:hAnsi="Arial" w:cs="Arial"/>
                <w:b/>
                <w:sz w:val="18"/>
                <w:lang w:val="en-GB" w:eastAsia="en-US"/>
              </w:rPr>
              <w:lastRenderedPageBreak/>
              <w:t>Applicable for</w:t>
            </w:r>
          </w:p>
        </w:tc>
        <w:tc>
          <w:tcPr>
            <w:tcW w:w="6741" w:type="dxa"/>
          </w:tcPr>
          <w:p w14:paraId="182D10F8" w14:textId="70035D06" w:rsidR="00FE6730" w:rsidRDefault="00FE6730" w:rsidP="00C81E8E">
            <w:pPr>
              <w:rPr>
                <w:rFonts w:cs="Arial"/>
                <w:lang w:eastAsia="en-US"/>
              </w:rPr>
            </w:pPr>
            <w:r w:rsidRPr="00FE6730">
              <w:rPr>
                <w:rFonts w:ascii="Arial" w:eastAsia="MS Mincho" w:hAnsi="Arial" w:cs="Arial"/>
                <w:sz w:val="18"/>
                <w:szCs w:val="18"/>
                <w:lang w:val="en-GB" w:eastAsia="ja-JP"/>
              </w:rPr>
              <w:t>RRC_CONNECTED intra-frequency</w:t>
            </w:r>
          </w:p>
        </w:tc>
      </w:tr>
    </w:tbl>
    <w:p w14:paraId="18DBF707" w14:textId="77777777" w:rsidR="00E35F34" w:rsidRDefault="00E35F34" w:rsidP="00C81E8E"/>
    <w:p w14:paraId="059C6BDB" w14:textId="7D65C05E" w:rsidR="0069454B" w:rsidRDefault="0033150A" w:rsidP="00C81E8E">
      <w:r>
        <w:t xml:space="preserve">Typically, </w:t>
      </w:r>
      <w:r w:rsidR="00E35F34">
        <w:t>SSTD measurement, as well as UE capabilities, are</w:t>
      </w:r>
      <w:r w:rsidR="00E35F34" w:rsidRPr="00E35F34">
        <w:t xml:space="preserve"> reported to </w:t>
      </w:r>
      <w:r w:rsidR="00E35F34">
        <w:t>MeNB a</w:t>
      </w:r>
      <w:r w:rsidR="00E35F34" w:rsidRPr="00E35F34">
        <w:t xml:space="preserve">s the basis for </w:t>
      </w:r>
      <w:r w:rsidR="00E35F34">
        <w:t xml:space="preserve">making decision on: 1) whether DC is possible or not, 2) whether </w:t>
      </w:r>
      <w:r w:rsidR="00E35F34" w:rsidRPr="00E35F34">
        <w:t xml:space="preserve">synchronous </w:t>
      </w:r>
      <w:r w:rsidR="00E35F34">
        <w:t xml:space="preserve">DC mode or asynchronous DC mode will be selected. </w:t>
      </w:r>
      <w:r w:rsidR="007E7E60">
        <w:t xml:space="preserve">For </w:t>
      </w:r>
      <w:r w:rsidR="007E7E60" w:rsidRPr="00C15202">
        <w:t xml:space="preserve">LTE, </w:t>
      </w:r>
      <w:r w:rsidR="00E35F34">
        <w:t xml:space="preserve">the threshold </w:t>
      </w:r>
      <w:r w:rsidR="005A7180" w:rsidRPr="005A7180">
        <w:t>between synchronous an</w:t>
      </w:r>
      <w:r w:rsidR="005A7180">
        <w:t>d asynchronous operation is whether</w:t>
      </w:r>
      <w:r w:rsidR="005A7180" w:rsidRPr="005A7180">
        <w:t xml:space="preserve"> the time difference between received subframes from PCell and PSCell is </w:t>
      </w:r>
      <w:r w:rsidR="005A7180">
        <w:t xml:space="preserve">smaller than </w:t>
      </w:r>
      <w:r w:rsidR="005A7180" w:rsidRPr="005A7180">
        <w:t>33μ</w:t>
      </w:r>
      <w:r w:rsidR="005A7180">
        <w:t>s or not</w:t>
      </w:r>
      <w:r w:rsidR="00993613">
        <w:t xml:space="preserve"> [4]</w:t>
      </w:r>
      <w:r w:rsidR="005A7180">
        <w:t xml:space="preserve">. </w:t>
      </w:r>
    </w:p>
    <w:p w14:paraId="0D6B406C" w14:textId="3B47807B" w:rsidR="007E7E60" w:rsidRDefault="005A7180" w:rsidP="00C81E8E">
      <w:r>
        <w:rPr>
          <w:rFonts w:hint="eastAsia"/>
        </w:rPr>
        <w:t xml:space="preserve">It is </w:t>
      </w:r>
      <w:r w:rsidR="0051368F">
        <w:t xml:space="preserve">important to point out that the definition of SSTD measurement in LTE is based on the fact that TTI length in LTE is 1ms, i.e. a subframe. So reporting the timing difference between the subframes of PCell and PSCell </w:t>
      </w:r>
      <w:r w:rsidR="00B05042">
        <w:t>is enough for LTE. However, situation has changed in NR. First, slot rather than</w:t>
      </w:r>
      <w:r w:rsidR="00EB0D87">
        <w:t xml:space="preserve"> </w:t>
      </w:r>
      <w:r w:rsidR="00C65FAC">
        <w:t xml:space="preserve">subframe has become the basic </w:t>
      </w:r>
      <w:r w:rsidR="00C65FAC" w:rsidRPr="00C65FAC">
        <w:t>scheduling</w:t>
      </w:r>
      <w:r w:rsidR="00C65FAC">
        <w:t xml:space="preserve"> unit. Second, multiple numerologies </w:t>
      </w:r>
      <w:r w:rsidR="00C65FAC" w:rsidRPr="00C65FAC">
        <w:t>feature</w:t>
      </w:r>
      <w:r w:rsidR="00C65FAC">
        <w:t xml:space="preserve"> is introduced in NR. As a result, the length of TTI will be a function of the numerology used by NR cell. </w:t>
      </w:r>
      <w:r w:rsidR="00624F55">
        <w:t xml:space="preserve">In </w:t>
      </w:r>
      <w:r w:rsidR="00E95A37">
        <w:t xml:space="preserve">Qingdao meeting, there are </w:t>
      </w:r>
      <w:r w:rsidR="00624F55">
        <w:t>some companies want to modify the definition to support more efficient LTE/NR DC operation</w:t>
      </w:r>
      <w:r w:rsidR="00993613">
        <w:t xml:space="preserve"> [5]</w:t>
      </w:r>
      <w:r w:rsidR="00624F55">
        <w:t xml:space="preserve">. To be more specific, </w:t>
      </w:r>
      <w:r w:rsidR="00624F55" w:rsidRPr="00624F55">
        <w:t>TTI time difference</w:t>
      </w:r>
      <w:r w:rsidR="00624F55">
        <w:t xml:space="preserve"> is pro</w:t>
      </w:r>
      <w:r w:rsidR="003C2B12">
        <w:t xml:space="preserve">posed to be added to the reporting message of SSTD </w:t>
      </w:r>
      <w:r w:rsidR="00BB5202">
        <w:t>then</w:t>
      </w:r>
      <w:r w:rsidR="003C2B12">
        <w:t xml:space="preserve"> </w:t>
      </w:r>
      <w:r w:rsidR="003C2B12" w:rsidRPr="003C2B12">
        <w:t xml:space="preserve">there will be </w:t>
      </w:r>
      <w:r w:rsidR="003C2B12">
        <w:t>more</w:t>
      </w:r>
      <w:r w:rsidR="003C2B12" w:rsidRPr="003C2B12">
        <w:t xml:space="preserve"> points in a subframe around which synchronous DC operation can be supported</w:t>
      </w:r>
      <w:r w:rsidR="003C2B12">
        <w:t xml:space="preserve">. </w:t>
      </w:r>
      <w:r w:rsidR="00E95A37">
        <w:t>W</w:t>
      </w:r>
      <w:r w:rsidR="007E5E06">
        <w:t xml:space="preserve">hether we need to modify the definition of SSTD measurement relies on </w:t>
      </w:r>
      <w:r w:rsidR="00B947EF">
        <w:t>the</w:t>
      </w:r>
      <w:r w:rsidR="007E5E06">
        <w:t xml:space="preserve"> benefit</w:t>
      </w:r>
      <w:r w:rsidR="00B947EF">
        <w:t>s</w:t>
      </w:r>
      <w:r w:rsidR="007E5E06">
        <w:t xml:space="preserve"> we could receive from </w:t>
      </w:r>
      <w:r w:rsidR="007E5E06" w:rsidRPr="003C2B12">
        <w:t>synchronous DC</w:t>
      </w:r>
      <w:r w:rsidR="007E5E06">
        <w:t xml:space="preserve"> </w:t>
      </w:r>
      <w:r w:rsidR="00B947EF">
        <w:t>compared to asynchronous DC</w:t>
      </w:r>
      <w:r w:rsidR="007E5E06">
        <w:t xml:space="preserve">. </w:t>
      </w:r>
      <w:r w:rsidR="00B947EF">
        <w:t>That is what we will discuss in the following section.</w:t>
      </w:r>
    </w:p>
    <w:p w14:paraId="5B996AAB" w14:textId="79D7A553" w:rsidR="003C2B12" w:rsidRPr="007E5E06" w:rsidRDefault="00664CC1" w:rsidP="007E5E06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Power Allocation for </w:t>
      </w:r>
      <w:r w:rsidR="007E5E06">
        <w:rPr>
          <w:rFonts w:ascii="Arial" w:hAnsi="Arial" w:cs="Arial"/>
          <w:lang w:val="en-US"/>
        </w:rPr>
        <w:t>S</w:t>
      </w:r>
      <w:r w:rsidR="00B947EF">
        <w:rPr>
          <w:rFonts w:ascii="Arial" w:hAnsi="Arial" w:cs="Arial"/>
          <w:lang w:val="en-US"/>
        </w:rPr>
        <w:t>ync</w:t>
      </w:r>
      <w:r>
        <w:rPr>
          <w:rFonts w:ascii="Arial" w:hAnsi="Arial" w:cs="Arial"/>
          <w:lang w:val="en-US"/>
        </w:rPr>
        <w:t xml:space="preserve"> </w:t>
      </w:r>
      <w:r w:rsidR="00B947EF">
        <w:rPr>
          <w:rFonts w:ascii="Arial" w:hAnsi="Arial" w:cs="Arial"/>
          <w:lang w:val="en-US"/>
        </w:rPr>
        <w:t>and Async DC</w:t>
      </w:r>
    </w:p>
    <w:p w14:paraId="5698DF9D" w14:textId="1360BE28" w:rsidR="00E95A37" w:rsidRPr="00E95A37" w:rsidRDefault="007E5E06" w:rsidP="00C81E8E">
      <w:r>
        <w:rPr>
          <w:rFonts w:hint="eastAsia"/>
        </w:rPr>
        <w:t>G</w:t>
      </w:r>
      <w:r>
        <w:t>enerally</w:t>
      </w:r>
      <w:r>
        <w:rPr>
          <w:rFonts w:hint="eastAsia"/>
        </w:rPr>
        <w:t xml:space="preserve"> speaking, </w:t>
      </w:r>
      <w:r w:rsidRPr="007E5E06">
        <w:t>synchronous DC and asynchronous DC</w:t>
      </w:r>
      <w:r w:rsidR="00B947EF">
        <w:t xml:space="preserve"> share the same </w:t>
      </w:r>
      <w:r w:rsidR="00B947EF" w:rsidRPr="00B947EF">
        <w:t>architecture</w:t>
      </w:r>
      <w:r w:rsidR="00664CC1">
        <w:t xml:space="preserve"> so they are mostly the same. However, there are still several difference between </w:t>
      </w:r>
      <w:r w:rsidR="00B05182">
        <w:t>them</w:t>
      </w:r>
      <w:r w:rsidR="00664CC1">
        <w:t xml:space="preserve">. From the aspect of </w:t>
      </w:r>
      <w:r w:rsidR="00664CC1" w:rsidRPr="00664CC1">
        <w:t>implementation</w:t>
      </w:r>
      <w:r w:rsidR="00664CC1">
        <w:t xml:space="preserve">, </w:t>
      </w:r>
      <w:r w:rsidR="00664CC1" w:rsidRPr="007E5E06">
        <w:t>synchronous DC</w:t>
      </w:r>
      <w:r w:rsidR="00664CC1">
        <w:t xml:space="preserve"> consumes less hardware resource because it is easier to coordinate the data flows of MeNB</w:t>
      </w:r>
      <w:r w:rsidR="00664CC1">
        <w:rPr>
          <w:rFonts w:hint="eastAsia"/>
        </w:rPr>
        <w:t xml:space="preserve"> and SeNB </w:t>
      </w:r>
      <w:r w:rsidR="00664CC1">
        <w:t xml:space="preserve">in </w:t>
      </w:r>
      <w:r w:rsidR="00664CC1" w:rsidRPr="007E5E06">
        <w:t>synchronous DC</w:t>
      </w:r>
      <w:r w:rsidR="00664CC1">
        <w:t xml:space="preserve"> </w:t>
      </w:r>
      <w:r w:rsidR="00BB5202">
        <w:t>operation</w:t>
      </w:r>
      <w:r w:rsidR="00664CC1">
        <w:t xml:space="preserve">. </w:t>
      </w:r>
      <w:r w:rsidR="00943F07">
        <w:t>And f</w:t>
      </w:r>
      <w:r w:rsidR="00664CC1">
        <w:t xml:space="preserve">rom the aspect of </w:t>
      </w:r>
      <w:r w:rsidR="00CB784F">
        <w:t xml:space="preserve">3GPP specification, </w:t>
      </w:r>
      <w:r w:rsidR="00E95A37">
        <w:t>the</w:t>
      </w:r>
      <w:r w:rsidR="00CB784F">
        <w:t xml:space="preserve"> major difference between </w:t>
      </w:r>
      <w:r w:rsidR="00CB784F" w:rsidRPr="007E5E06">
        <w:t>synchronous DC and asynchronous DC</w:t>
      </w:r>
      <w:r w:rsidR="00CB784F">
        <w:t xml:space="preserve"> is the power allocation </w:t>
      </w:r>
      <w:r w:rsidR="00EC4787">
        <w:t>procedures</w:t>
      </w:r>
      <w:r w:rsidR="00CB784F">
        <w:t xml:space="preserve">. </w:t>
      </w:r>
      <w:r w:rsidR="00E95A37">
        <w:t>For LTE, it is specified in</w:t>
      </w:r>
      <w:r w:rsidR="00710627">
        <w:t xml:space="preserve"> sub clause </w:t>
      </w:r>
      <w:r w:rsidR="00710627" w:rsidRPr="00E9040D">
        <w:rPr>
          <w:rFonts w:hint="eastAsia"/>
        </w:rPr>
        <w:t>5.1.</w:t>
      </w:r>
      <w:r w:rsidR="00710627" w:rsidRPr="009C48BE">
        <w:t>4</w:t>
      </w:r>
      <w:r w:rsidR="00710627">
        <w:t xml:space="preserve"> of </w:t>
      </w:r>
      <w:r w:rsidR="00993613">
        <w:t>[6]</w:t>
      </w:r>
      <w:r w:rsidR="00E95A37">
        <w:t xml:space="preserve"> which is </w:t>
      </w:r>
      <w:r w:rsidR="00E95A37" w:rsidRPr="00E95A37">
        <w:t>duplicate</w:t>
      </w:r>
      <w:r w:rsidR="00E95A37">
        <w:t>d here</w:t>
      </w:r>
      <w:r w:rsidR="00710627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296"/>
      </w:tblGrid>
      <w:tr w:rsidR="00EC4787" w14:paraId="2DC7CBB4" w14:textId="77777777" w:rsidTr="00EC4787">
        <w:tc>
          <w:tcPr>
            <w:tcW w:w="8296" w:type="dxa"/>
          </w:tcPr>
          <w:p w14:paraId="44C88EAE" w14:textId="77777777" w:rsidR="00EC4787" w:rsidRDefault="00EC4787" w:rsidP="00EC4787">
            <w:pPr>
              <w:pStyle w:val="B1"/>
              <w:ind w:left="400" w:hanging="400"/>
            </w:pPr>
            <w:r>
              <w:t>-</w:t>
            </w:r>
            <w:r>
              <w:tab/>
              <w:t xml:space="preserve">if the UE supports synchronous dual connectivity but does not support asynchronous dual connectivity, or if the UE supports both synchronous dual connectivity and asynchronous dual </w:t>
            </w:r>
            <w:r>
              <w:lastRenderedPageBreak/>
              <w:t xml:space="preserve">connectivity and if the higher layer parameter </w:t>
            </w:r>
            <w:r w:rsidRPr="004001CD">
              <w:rPr>
                <w:i/>
              </w:rPr>
              <w:t>powerControlMode</w:t>
            </w:r>
            <w:r w:rsidRPr="001A242A">
              <w:rPr>
                <w:i/>
              </w:rPr>
              <w:t xml:space="preserve"> </w:t>
            </w:r>
            <w:r>
              <w:t>indicates dual connectivity power control mode 1</w:t>
            </w:r>
          </w:p>
          <w:p w14:paraId="5D168931" w14:textId="4CB1845E" w:rsidR="00EC4787" w:rsidRDefault="00EC4787" w:rsidP="00EC4787">
            <w:pPr>
              <w:pStyle w:val="B2"/>
            </w:pPr>
            <w:r>
              <w:t>-</w:t>
            </w:r>
            <w:r>
              <w:tab/>
              <w:t xml:space="preserve">if the </w:t>
            </w:r>
            <w:r w:rsidRPr="00C67795">
              <w:rPr>
                <w:rFonts w:eastAsia="MS Mincho"/>
                <w:lang w:eastAsia="ja-JP"/>
              </w:rPr>
              <w:t xml:space="preserve">maximum uplink timing difference between </w:t>
            </w:r>
            <w:r>
              <w:rPr>
                <w:rFonts w:eastAsia="MS Mincho"/>
                <w:lang w:eastAsia="ja-JP"/>
              </w:rPr>
              <w:t xml:space="preserve">transmitted </w:t>
            </w:r>
            <w:r w:rsidRPr="00C67795">
              <w:rPr>
                <w:rFonts w:eastAsia="MS Mincho"/>
                <w:lang w:eastAsia="ja-JP"/>
              </w:rPr>
              <w:t>signals to di</w:t>
            </w:r>
            <w:r>
              <w:rPr>
                <w:rFonts w:eastAsia="MS Mincho"/>
                <w:lang w:eastAsia="ja-JP"/>
              </w:rPr>
              <w:t xml:space="preserve">fferent serving cells including </w:t>
            </w:r>
            <w:r w:rsidRPr="00C67795">
              <w:rPr>
                <w:rFonts w:eastAsia="MS Mincho"/>
                <w:lang w:eastAsia="ja-JP"/>
              </w:rPr>
              <w:t xml:space="preserve">serving cells belonging to different CGs is equal to or less than </w:t>
            </w:r>
            <w:r>
              <w:rPr>
                <w:rFonts w:eastAsia="MS Mincho"/>
                <w:lang w:eastAsia="ja-JP"/>
              </w:rPr>
              <w:t>the</w:t>
            </w:r>
            <w:r w:rsidRPr="00092B0B">
              <w:rPr>
                <w:rFonts w:eastAsia="MS Mincho"/>
                <w:lang w:eastAsia="ja-JP"/>
              </w:rPr>
              <w:t xml:space="preserve"> </w:t>
            </w:r>
            <w:r w:rsidRPr="00A92B8F">
              <w:rPr>
                <w:rFonts w:eastAsia="MS Mincho"/>
                <w:lang w:eastAsia="ja-JP"/>
              </w:rPr>
              <w:t>minimum requirement for maximum transmission timing difference for synchronous dual connectivity defined in [</w:t>
            </w:r>
            <w:r w:rsidR="00993613">
              <w:rPr>
                <w:rFonts w:eastAsia="MS Mincho"/>
                <w:lang w:eastAsia="ja-JP"/>
              </w:rPr>
              <w:t>7</w:t>
            </w:r>
            <w:r w:rsidRPr="00A92B8F">
              <w:rPr>
                <w:rFonts w:eastAsia="MS Mincho"/>
                <w:lang w:eastAsia="ja-JP"/>
              </w:rPr>
              <w:t>]</w:t>
            </w:r>
            <w:r>
              <w:rPr>
                <w:rFonts w:eastAsia="MS Mincho"/>
                <w:lang w:eastAsia="ja-JP"/>
              </w:rPr>
              <w:t>.</w:t>
            </w:r>
          </w:p>
          <w:p w14:paraId="6582F61D" w14:textId="02DA9EF6" w:rsidR="00EC4787" w:rsidRDefault="00EC4787" w:rsidP="00C80101">
            <w:pPr>
              <w:pStyle w:val="B3"/>
            </w:pPr>
            <w:r>
              <w:t>-</w:t>
            </w:r>
            <w:r>
              <w:tab/>
              <w:t>The UE shall use the procedures de</w:t>
            </w:r>
            <w:r w:rsidR="00C80101">
              <w:t>scribed in sub clause 5.1.4.1.</w:t>
            </w:r>
          </w:p>
          <w:p w14:paraId="6C28A37B" w14:textId="77777777" w:rsidR="00EC4787" w:rsidRDefault="00EC4787" w:rsidP="00EC4787">
            <w:pPr>
              <w:pStyle w:val="B1"/>
              <w:ind w:left="400" w:hanging="400"/>
            </w:pPr>
            <w:r>
              <w:t>-</w:t>
            </w:r>
            <w:r>
              <w:tab/>
              <w:t xml:space="preserve">if the UE supports both synchronous dual connectivity and asynchronous dual connectivity and if the higher layer parameter </w:t>
            </w:r>
            <w:r w:rsidRPr="004D6623">
              <w:rPr>
                <w:bCs/>
                <w:i/>
                <w:noProof/>
                <w:lang w:val="en-US"/>
              </w:rPr>
              <w:t>powerControlMode</w:t>
            </w:r>
            <w:r w:rsidRPr="001A242A">
              <w:rPr>
                <w:i/>
              </w:rPr>
              <w:t xml:space="preserve"> </w:t>
            </w:r>
            <w:r>
              <w:t>does not indicate dual connectivity power control mode 1</w:t>
            </w:r>
          </w:p>
          <w:p w14:paraId="47F56F9E" w14:textId="51DEE354" w:rsidR="00EC4787" w:rsidRPr="00EC4787" w:rsidRDefault="00EC4787" w:rsidP="00C80101">
            <w:pPr>
              <w:pStyle w:val="B2"/>
            </w:pPr>
            <w:r>
              <w:t>-</w:t>
            </w:r>
            <w:r>
              <w:tab/>
              <w:t>The UE shall use the procedures described in sub clause 5.1.4.2 .</w:t>
            </w:r>
          </w:p>
        </w:tc>
      </w:tr>
    </w:tbl>
    <w:p w14:paraId="714A9DE9" w14:textId="77777777" w:rsidR="00E95A37" w:rsidRDefault="00E95A37" w:rsidP="00C81E8E"/>
    <w:p w14:paraId="3AB74067" w14:textId="77777777" w:rsidR="00F10932" w:rsidRDefault="00EC4787" w:rsidP="00C81E8E">
      <w:r>
        <w:rPr>
          <w:rFonts w:hint="eastAsia"/>
        </w:rPr>
        <w:t>In</w:t>
      </w:r>
      <w:r>
        <w:t xml:space="preserve"> short</w:t>
      </w:r>
      <w:r>
        <w:rPr>
          <w:rFonts w:hint="eastAsia"/>
        </w:rPr>
        <w:t xml:space="preserve">, </w:t>
      </w:r>
      <w:r w:rsidRPr="007E5E06">
        <w:t xml:space="preserve">synchronous </w:t>
      </w:r>
      <w:r w:rsidR="00C80101">
        <w:t>DC and a</w:t>
      </w:r>
      <w:r w:rsidR="00C80101" w:rsidRPr="007E5E06">
        <w:t xml:space="preserve">synchronous </w:t>
      </w:r>
      <w:r w:rsidRPr="007E5E06">
        <w:t xml:space="preserve">DC </w:t>
      </w:r>
      <w:r>
        <w:t>will use the power allocation procedure described in subclause 5.1.4.1 (</w:t>
      </w:r>
      <w:r w:rsidR="00C80101">
        <w:t xml:space="preserve">DC power control </w:t>
      </w:r>
      <w:r>
        <w:t>mode 1) and subclause 5.1.4.2 (</w:t>
      </w:r>
      <w:r w:rsidR="00C80101">
        <w:t xml:space="preserve">DC power control </w:t>
      </w:r>
      <w:r>
        <w:t xml:space="preserve">mode 2) of TS 36.213 respectively. </w:t>
      </w:r>
      <w:r w:rsidR="00A27F7D">
        <w:t xml:space="preserve">Generally speaking, </w:t>
      </w:r>
      <w:r w:rsidR="00BB5202" w:rsidRPr="00BB5202">
        <w:t xml:space="preserve">the power </w:t>
      </w:r>
      <w:r w:rsidR="002037FB">
        <w:t>allocation</w:t>
      </w:r>
      <w:r w:rsidR="00BB5202" w:rsidRPr="00BB5202">
        <w:t xml:space="preserve"> in </w:t>
      </w:r>
      <w:r w:rsidR="002037FB" w:rsidRPr="007E5E06">
        <w:t xml:space="preserve">synchronous </w:t>
      </w:r>
      <w:r w:rsidR="002037FB">
        <w:t>DC</w:t>
      </w:r>
      <w:r w:rsidR="00BB5202" w:rsidRPr="00BB5202">
        <w:t xml:space="preserve"> is</w:t>
      </w:r>
      <w:r w:rsidR="00335E52">
        <w:t xml:space="preserve"> simpler</w:t>
      </w:r>
      <w:r w:rsidR="00BB5202" w:rsidRPr="00BB5202">
        <w:t xml:space="preserve"> </w:t>
      </w:r>
      <w:r w:rsidR="00335E52">
        <w:t xml:space="preserve">and </w:t>
      </w:r>
      <w:r w:rsidR="00A27F7D">
        <w:t xml:space="preserve">more accurate. </w:t>
      </w:r>
      <w:r w:rsidR="009B12C7">
        <w:rPr>
          <w:rFonts w:hint="eastAsia"/>
        </w:rPr>
        <w:t xml:space="preserve">However, </w:t>
      </w:r>
      <w:r w:rsidR="009B12C7">
        <w:t>it is important to note that the observation “</w:t>
      </w:r>
      <w:r w:rsidR="009B12C7" w:rsidRPr="00BB5202">
        <w:t xml:space="preserve">power </w:t>
      </w:r>
      <w:r w:rsidR="009B12C7">
        <w:t>allocation</w:t>
      </w:r>
      <w:r w:rsidR="009B12C7" w:rsidRPr="00BB5202">
        <w:t xml:space="preserve"> in </w:t>
      </w:r>
      <w:r w:rsidR="009B12C7" w:rsidRPr="007E5E06">
        <w:t xml:space="preserve">synchronous </w:t>
      </w:r>
      <w:r w:rsidR="009B12C7">
        <w:t>DC</w:t>
      </w:r>
      <w:r w:rsidR="009B12C7" w:rsidRPr="00BB5202">
        <w:t xml:space="preserve"> is</w:t>
      </w:r>
      <w:r w:rsidR="009B12C7">
        <w:t xml:space="preserve"> generally simpler</w:t>
      </w:r>
      <w:r w:rsidR="009B12C7" w:rsidRPr="00BB5202">
        <w:t xml:space="preserve"> </w:t>
      </w:r>
      <w:r w:rsidR="009B12C7">
        <w:t xml:space="preserve">and </w:t>
      </w:r>
      <w:r w:rsidR="009B12C7" w:rsidRPr="00BB5202">
        <w:t>more accurate</w:t>
      </w:r>
      <w:r w:rsidR="009B12C7">
        <w:t xml:space="preserve">” still depends on the </w:t>
      </w:r>
      <w:r w:rsidR="009B12C7" w:rsidRPr="00A30A58">
        <w:t>premise</w:t>
      </w:r>
      <w:r w:rsidR="009B12C7">
        <w:t xml:space="preserve"> that subframe is the minimum scheduling unit in LTE. </w:t>
      </w:r>
    </w:p>
    <w:p w14:paraId="74FDD13F" w14:textId="59619D78" w:rsidR="000F2281" w:rsidRDefault="00A27F7D" w:rsidP="00C81E8E">
      <w:r>
        <w:t xml:space="preserve">In </w:t>
      </w:r>
      <w:r w:rsidRPr="00BB5202">
        <w:t xml:space="preserve">synchronous </w:t>
      </w:r>
      <w:r w:rsidR="009B12C7">
        <w:t xml:space="preserve">LTE </w:t>
      </w:r>
      <w:r w:rsidRPr="00BB5202">
        <w:t xml:space="preserve">DC, </w:t>
      </w:r>
      <w:r>
        <w:t>a subframe of the first cell group (labeled CG1) only overlaps in time with one subframe of the second cell group (labeled as CG2) so UE</w:t>
      </w:r>
      <w:r>
        <w:rPr>
          <w:rFonts w:hint="eastAsia"/>
        </w:rPr>
        <w:t xml:space="preserve"> only needs to consider the power allocation between these two subframes. </w:t>
      </w:r>
      <w:r w:rsidRPr="00BB5202">
        <w:t xml:space="preserve">In addition, since </w:t>
      </w:r>
      <w:r>
        <w:t>two CGs</w:t>
      </w:r>
      <w:r w:rsidRPr="00BB5202">
        <w:t xml:space="preserve"> h</w:t>
      </w:r>
      <w:r>
        <w:t xml:space="preserve">ave the same scheduling timing UE can allocate power among them based on their transmission situations such as </w:t>
      </w:r>
      <w:r w:rsidRPr="00BB5202">
        <w:t xml:space="preserve">whether </w:t>
      </w:r>
      <w:r>
        <w:t xml:space="preserve">a PRACH </w:t>
      </w:r>
      <w:r w:rsidRPr="00BB5202">
        <w:t xml:space="preserve">or </w:t>
      </w:r>
      <w:r>
        <w:t>a PUCCH/PUSCH contains HARQ ACK/SR is transmitted or not</w:t>
      </w:r>
      <w:r w:rsidRPr="00BB5202">
        <w:t xml:space="preserve">. </w:t>
      </w:r>
      <w:r>
        <w:rPr>
          <w:rFonts w:hint="eastAsia"/>
        </w:rPr>
        <w:t>O</w:t>
      </w:r>
      <w:r>
        <w:t xml:space="preserve">n the other hand, in </w:t>
      </w:r>
      <w:r w:rsidRPr="00BB5202">
        <w:t xml:space="preserve">asynchronous </w:t>
      </w:r>
      <w:r w:rsidR="009B12C7">
        <w:t xml:space="preserve">LTE </w:t>
      </w:r>
      <w:r w:rsidRPr="00BB5202">
        <w:t>DC</w:t>
      </w:r>
      <w:r>
        <w:t xml:space="preserve"> </w:t>
      </w:r>
      <w:r w:rsidRPr="00BB5202">
        <w:t xml:space="preserve">a </w:t>
      </w:r>
      <w:r>
        <w:t xml:space="preserve">subframe of CG1 </w:t>
      </w:r>
      <w:r w:rsidR="009B12C7">
        <w:t>may overlaps</w:t>
      </w:r>
      <w:r>
        <w:t xml:space="preserve"> in time </w:t>
      </w:r>
      <w:r w:rsidRPr="00BB5202">
        <w:t xml:space="preserve">with </w:t>
      </w:r>
      <w:r>
        <w:t>two subframes of CG2 so it is need to take both subframes of CG2 into consideration when allocating power for CG1.</w:t>
      </w:r>
      <w:r w:rsidRPr="00BB5202">
        <w:t xml:space="preserve"> In addition, UE cannot take into account the transmission of the second subframe </w:t>
      </w:r>
      <w:r w:rsidR="009B12C7">
        <w:t>CG1 when</w:t>
      </w:r>
      <w:r>
        <w:t xml:space="preserve"> </w:t>
      </w:r>
      <w:r w:rsidRPr="00BB5202">
        <w:t>allocat</w:t>
      </w:r>
      <w:r>
        <w:t xml:space="preserve">ing power for CG1 </w:t>
      </w:r>
      <w:r w:rsidRPr="00BB5202">
        <w:t>due to the dif</w:t>
      </w:r>
      <w:r>
        <w:t>ferent timing of the scheduling</w:t>
      </w:r>
      <w:r w:rsidRPr="00BB5202">
        <w:t>.</w:t>
      </w:r>
      <w:r w:rsidR="00F10932">
        <w:rPr>
          <w:rFonts w:hint="eastAsia"/>
        </w:rPr>
        <w:t xml:space="preserve"> </w:t>
      </w:r>
      <w:r w:rsidR="00F10932">
        <w:t>But i</w:t>
      </w:r>
      <w:r w:rsidR="001A29E1">
        <w:t xml:space="preserve">n NR case, </w:t>
      </w:r>
      <w:r w:rsidR="00CA7C31">
        <w:t xml:space="preserve">a subframe of LTE MeNB may overlap in time with multiple slots of NR SeNB. It is actually the similar </w:t>
      </w:r>
      <w:r w:rsidR="00F10932">
        <w:t>situation</w:t>
      </w:r>
      <w:r w:rsidR="00CA7C31">
        <w:t xml:space="preserve"> faced in a</w:t>
      </w:r>
      <w:r w:rsidR="00CA7C31" w:rsidRPr="007E5E06">
        <w:t>synchronous</w:t>
      </w:r>
      <w:r w:rsidR="0011402E">
        <w:t xml:space="preserve"> </w:t>
      </w:r>
      <w:r w:rsidR="00F10932">
        <w:t xml:space="preserve">LTE </w:t>
      </w:r>
      <w:r w:rsidR="0011402E">
        <w:t>DC operation, and this problem still exists e</w:t>
      </w:r>
      <w:r w:rsidR="00CA7C31">
        <w:t xml:space="preserve">ven we modified the definition of SSTD measurement to </w:t>
      </w:r>
      <w:r w:rsidR="0011402E">
        <w:t xml:space="preserve">allow the </w:t>
      </w:r>
      <w:r w:rsidR="0011402E" w:rsidRPr="0011402E">
        <w:t>synchronization</w:t>
      </w:r>
      <w:r w:rsidR="0011402E">
        <w:t xml:space="preserve"> at LTE subfram</w:t>
      </w:r>
      <w:r w:rsidR="00F10932">
        <w:t xml:space="preserve">e boundary and NR TTI boundary. </w:t>
      </w:r>
    </w:p>
    <w:p w14:paraId="4E46CDB0" w14:textId="485166DB" w:rsidR="00A62EDB" w:rsidRDefault="00CC3034" w:rsidP="00C81E8E">
      <w:r>
        <w:t xml:space="preserve">Consider the situation demonstrated in Fig.1 as an example. Assume the subframe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>
        <w:t xml:space="preserve"> of LTE MeNB is aligned with the second slot of subframe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 xml:space="preserve"> of NR SeNB at the TTI boundary</w:t>
      </w:r>
      <w:r>
        <w:t xml:space="preserve"> and are considered as </w:t>
      </w:r>
      <w:r w:rsidRPr="007E5E06">
        <w:t>synchron</w:t>
      </w:r>
      <w:r>
        <w:t>ized. We further assume that there i</w:t>
      </w:r>
      <w:r w:rsidR="005D1F0E">
        <w:t xml:space="preserve">s a uplink </w:t>
      </w:r>
      <w:r>
        <w:t xml:space="preserve">transmission in the second slot of subframe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</m:oMath>
      <w:r>
        <w:rPr>
          <w:rFonts w:hint="eastAsia"/>
        </w:rPr>
        <w:t xml:space="preserve"> and </w:t>
      </w:r>
      <w:r w:rsidR="005D1F0E">
        <w:t>no transmission occurs during</w:t>
      </w:r>
      <w:r>
        <w:t xml:space="preserve"> the first slot of subframe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</m:t>
        </m:r>
      </m:oMath>
      <w:r w:rsidR="005D1F0E">
        <w:rPr>
          <w:rFonts w:hint="eastAsia"/>
        </w:rPr>
        <w:t xml:space="preserve">. </w:t>
      </w:r>
      <w:r w:rsidR="001E1CD6">
        <w:t xml:space="preserve">As a result, </w:t>
      </w:r>
      <w:r w:rsidR="005D1F0E">
        <w:t xml:space="preserve">UE should reserve a </w:t>
      </w:r>
      <w:r w:rsidR="005D1F0E" w:rsidRPr="005D1F0E">
        <w:t xml:space="preserve">proportion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γ</m:t>
            </m:r>
            <m:ctrlPr>
              <w:rPr>
                <w:rFonts w:ascii="Cambria Math" w:hAnsi="Cambria Math"/>
                <w:i/>
              </w:rPr>
            </m:ctrlPr>
          </m:e>
          <m:sub>
            <m:r>
              <w:rPr>
                <w:rFonts w:ascii="Cambria Math" w:hAnsi="Cambria Math"/>
              </w:rPr>
              <m:t>SCG</m:t>
            </m:r>
          </m:sub>
        </m:sSub>
      </m:oMath>
      <w:r w:rsidR="005D1F0E">
        <w:rPr>
          <w:rFonts w:hint="eastAsia"/>
        </w:rPr>
        <w:t xml:space="preserve"> of </w:t>
      </w:r>
      <w:r w:rsidR="001E1CD6">
        <w:t xml:space="preserve">transmit power </w:t>
      </w:r>
      <w:r w:rsidR="005D1F0E">
        <w:t>for NR</w:t>
      </w:r>
      <w:r w:rsidR="001E1CD6">
        <w:t xml:space="preserve"> uplink</w:t>
      </w:r>
      <w:r w:rsidR="005D1F0E">
        <w:t xml:space="preserve"> transmission</w:t>
      </w:r>
      <w:r w:rsidR="00281725">
        <w:t>. S</w:t>
      </w:r>
      <w:r w:rsidR="001E1CD6">
        <w:t xml:space="preserve">o </w:t>
      </w:r>
      <w:r w:rsidR="00281725">
        <w:t xml:space="preserve">the transmit power of MeNB can at most be </w:t>
      </w:r>
      <m:oMath>
        <m:d>
          <m:dPr>
            <m:ctrlPr>
              <w:rPr>
                <w:rFonts w:ascii="Cambria Math" w:hAnsi="Cambria Math"/>
              </w:rPr>
            </m:ctrlPr>
          </m:dPr>
          <m:e>
            <m:r>
              <w:rPr>
                <w:rFonts w:ascii="Cambria Math" w:hAnsi="Cambria Math"/>
              </w:rPr>
              <m:t>1-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γ</m:t>
                </m:r>
              </m:e>
              <m:sub>
                <m:r>
                  <w:rPr>
                    <w:rFonts w:ascii="Cambria Math" w:hAnsi="Cambria Math"/>
                  </w:rPr>
                  <m:t>SCG</m:t>
                </m:r>
              </m:sub>
            </m:sSub>
          </m:e>
        </m:d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sty m:val="p"/>
              </m:rPr>
              <w:rPr>
                <w:rFonts w:ascii="Cambria Math" w:hAnsi="Cambria Math"/>
              </w:rPr>
              <m:t>max</m:t>
            </m:r>
          </m:sub>
        </m:sSub>
        <m:d>
          <m:dPr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i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e>
        </m:d>
      </m:oMath>
      <w:r w:rsidR="00281725">
        <w:t xml:space="preserve"> although there is no NR uplink transmission occurs in the first slot of subframe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i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+1</m:t>
        </m:r>
      </m:oMath>
      <w:r w:rsidR="00281725">
        <w:t xml:space="preserve">. There will be a waste of reserved transmit power. In this case </w:t>
      </w:r>
      <w:r w:rsidR="001A29E1">
        <w:t>UE may not benefit</w:t>
      </w:r>
      <w:r w:rsidR="00CA7C31">
        <w:t>s</w:t>
      </w:r>
      <w:r w:rsidR="001A29E1">
        <w:t xml:space="preserve"> from </w:t>
      </w:r>
      <w:r w:rsidR="00CA7C31">
        <w:t xml:space="preserve">the </w:t>
      </w:r>
      <w:r w:rsidR="001A29E1" w:rsidRPr="007E5E06">
        <w:t xml:space="preserve">synchronous </w:t>
      </w:r>
      <w:r w:rsidR="001A29E1">
        <w:t xml:space="preserve">DC operation </w:t>
      </w:r>
      <w:r w:rsidR="00063699">
        <w:t>o</w:t>
      </w:r>
      <w:r w:rsidR="00063699" w:rsidRPr="00063699">
        <w:t>n the issue of power allocation</w:t>
      </w:r>
      <w:r w:rsidR="00063699">
        <w:t xml:space="preserve"> under t</w:t>
      </w:r>
      <w:r w:rsidR="00063699" w:rsidRPr="00063699">
        <w:t xml:space="preserve">he existing power </w:t>
      </w:r>
      <w:r w:rsidR="00063699">
        <w:t>allocation</w:t>
      </w:r>
      <w:r w:rsidR="00063699" w:rsidRPr="00063699">
        <w:t xml:space="preserve"> </w:t>
      </w:r>
      <w:r w:rsidR="00063699">
        <w:t>procedure</w:t>
      </w:r>
      <w:r w:rsidR="00956E94">
        <w:t>.</w:t>
      </w:r>
    </w:p>
    <w:p w14:paraId="6090B9DE" w14:textId="77777777" w:rsidR="00473B4B" w:rsidRDefault="00473B4B" w:rsidP="00473B4B">
      <w:r>
        <w:rPr>
          <w:noProof/>
        </w:rPr>
        <w:lastRenderedPageBreak/>
        <w:drawing>
          <wp:inline distT="0" distB="0" distL="0" distR="0" wp14:anchorId="0642804D" wp14:editId="4040AC4A">
            <wp:extent cx="5272405" cy="1028700"/>
            <wp:effectExtent l="0" t="0" r="4445" b="0"/>
            <wp:docPr id="46" name="图片 46" descr="C:\Users\w00195360\Pictures\LTE_N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6" descr="C:\Users\w00195360\Pictures\LTE_NR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2405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F8063A" w14:textId="41F8086A" w:rsidR="00473B4B" w:rsidRPr="00473B4B" w:rsidRDefault="00473B4B" w:rsidP="00473B4B">
      <w:pPr>
        <w:jc w:val="center"/>
        <w:rPr>
          <w:rFonts w:ascii="Arial" w:eastAsia="Arial Unicode MS" w:hAnsi="Arial" w:cs="Arial"/>
          <w:b/>
        </w:rPr>
      </w:pPr>
      <w:r w:rsidRPr="00473B4B">
        <w:rPr>
          <w:rFonts w:ascii="Arial" w:eastAsia="Arial Unicode MS" w:hAnsi="Arial" w:cs="Arial"/>
          <w:b/>
        </w:rPr>
        <w:t xml:space="preserve">Figure 1: Demonstration on power allocation between </w:t>
      </w:r>
      <w:r w:rsidRPr="00473B4B">
        <w:rPr>
          <w:rFonts w:ascii="Arial" w:eastAsia="Arial Unicode MS" w:hAnsi="Arial" w:cs="Arial"/>
          <w:b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0C1E7411" wp14:editId="07577A35">
                <wp:simplePos x="0" y="0"/>
                <wp:positionH relativeFrom="column">
                  <wp:posOffset>-1143000</wp:posOffset>
                </wp:positionH>
                <wp:positionV relativeFrom="paragraph">
                  <wp:posOffset>-8890000</wp:posOffset>
                </wp:positionV>
                <wp:extent cx="10898657" cy="2523185"/>
                <wp:effectExtent l="0" t="0" r="17145" b="0"/>
                <wp:wrapNone/>
                <wp:docPr id="26" name="组合 2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898657" cy="2523185"/>
                          <a:chOff x="0" y="0"/>
                          <a:chExt cx="10898657" cy="2523185"/>
                        </a:xfrm>
                      </wpg:grpSpPr>
                      <wps:wsp>
                        <wps:cNvPr id="2" name="矩形 2"/>
                        <wps:cNvSpPr/>
                        <wps:spPr>
                          <a:xfrm>
                            <a:off x="4670853" y="416014"/>
                            <a:ext cx="3113902" cy="461319"/>
                          </a:xfrm>
                          <a:prstGeom prst="rect">
                            <a:avLst/>
                          </a:prstGeom>
                          <a:solidFill>
                            <a:schemeClr val="accent1">
                              <a:lumMod val="40000"/>
                              <a:lumOff val="60000"/>
                            </a:schemeClr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3" name="矩形 3"/>
                        <wps:cNvSpPr/>
                        <wps:spPr>
                          <a:xfrm>
                            <a:off x="1556951" y="1084998"/>
                            <a:ext cx="1556951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4" name="矩形 4"/>
                        <wps:cNvSpPr/>
                        <wps:spPr>
                          <a:xfrm>
                            <a:off x="3113902" y="1084998"/>
                            <a:ext cx="1556951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5" name="矩形 5"/>
                        <wps:cNvSpPr/>
                        <wps:spPr>
                          <a:xfrm>
                            <a:off x="0" y="1084998"/>
                            <a:ext cx="1556951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矩形 6"/>
                        <wps:cNvSpPr/>
                        <wps:spPr>
                          <a:xfrm>
                            <a:off x="4670853" y="1084997"/>
                            <a:ext cx="1556951" cy="461319"/>
                          </a:xfrm>
                          <a:prstGeom prst="rect">
                            <a:avLst/>
                          </a:prstGeom>
                          <a:solidFill>
                            <a:schemeClr val="accent2">
                              <a:lumMod val="60000"/>
                              <a:lumOff val="40000"/>
                            </a:schemeClr>
                          </a:solidFill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矩形 7"/>
                        <wps:cNvSpPr/>
                        <wps:spPr>
                          <a:xfrm>
                            <a:off x="7784755" y="416012"/>
                            <a:ext cx="3113902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8" name="矩形 8"/>
                        <wps:cNvSpPr/>
                        <wps:spPr>
                          <a:xfrm>
                            <a:off x="1556951" y="416011"/>
                            <a:ext cx="3113902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矩形 9"/>
                        <wps:cNvSpPr/>
                        <wps:spPr>
                          <a:xfrm>
                            <a:off x="6227804" y="1084995"/>
                            <a:ext cx="1556951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0" name="矩形 10"/>
                        <wps:cNvSpPr/>
                        <wps:spPr>
                          <a:xfrm>
                            <a:off x="7784755" y="1084994"/>
                            <a:ext cx="1556951" cy="461319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chemeClr val="accent1"/>
                            </a:solidFill>
                            <a:prstDash val="lgDash"/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" name="文本框 12"/>
                        <wps:cNvSpPr txBox="1"/>
                        <wps:spPr>
                          <a:xfrm>
                            <a:off x="5556343" y="689"/>
                            <a:ext cx="1343025" cy="883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413C3A0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Subframe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</m:t>
                                    </m:r>
                                  </m:sub>
                                </m:sSub>
                              </m:oMath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2" name="文本框 13"/>
                        <wps:cNvSpPr txBox="1"/>
                        <wps:spPr>
                          <a:xfrm>
                            <a:off x="3999413" y="1639265"/>
                            <a:ext cx="1343025" cy="883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544A1F9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Subframe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b>
                                </m:sSub>
                              </m:oMath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3" name="文本框 14"/>
                        <wps:cNvSpPr txBox="1"/>
                        <wps:spPr>
                          <a:xfrm>
                            <a:off x="6899091" y="1638090"/>
                            <a:ext cx="1750060" cy="883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506A6EC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Subframe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+1</m:t>
                                </m:r>
                              </m:oMath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4" name="文本框 15"/>
                        <wps:cNvSpPr txBox="1"/>
                        <wps:spPr>
                          <a:xfrm>
                            <a:off x="8548693" y="685"/>
                            <a:ext cx="1715135" cy="883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B3E80ED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Subframe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+1</m:t>
                                </m:r>
                              </m:oMath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5" name="文本框 16"/>
                        <wps:cNvSpPr txBox="1"/>
                        <wps:spPr>
                          <a:xfrm>
                            <a:off x="2413648" y="0"/>
                            <a:ext cx="1721485" cy="883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27E4F218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Subframe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1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-1</m:t>
                                </m:r>
                              </m:oMath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6" name="文本框 17"/>
                        <wps:cNvSpPr txBox="1"/>
                        <wps:spPr>
                          <a:xfrm>
                            <a:off x="708441" y="1638090"/>
                            <a:ext cx="1733550" cy="88392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15284F13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 xml:space="preserve">Subframe </w:t>
                              </w:r>
                              <m:oMath>
                                <m:sSub>
                                  <m:sSubPr>
                                    <m:ctrlPr>
                                      <w:rPr>
                                        <w:rFonts w:ascii="Cambria Math" w:eastAsiaTheme="minorEastAsia" w:hAnsi="Cambria Math" w:cstheme="minorBidi"/>
                                        <w:i/>
                                        <w:iCs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</m:ctrlPr>
                                  </m:sSubPr>
                                  <m:e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i</m:t>
                                    </m:r>
                                  </m:e>
                                  <m:sub>
                                    <m:r>
                                      <w:rPr>
                                        <w:rFonts w:ascii="Cambria Math" w:eastAsiaTheme="minorEastAsia" w:hAnsi="Cambria Math" w:cstheme="minorBidi"/>
                                        <w:color w:val="000000" w:themeColor="text1"/>
                                        <w:kern w:val="24"/>
                                        <w:sz w:val="36"/>
                                        <w:szCs w:val="36"/>
                                      </w:rPr>
                                      <m:t>2</m:t>
                                    </m:r>
                                  </m:sub>
                                </m:sSub>
                                <m:r>
                                  <w:rPr>
                                    <w:rFonts w:ascii="Cambria Math" w:eastAsiaTheme="minorEastAsia" w:hAnsi="Cambria Math" w:cstheme="minorBidi"/>
                                    <w:color w:val="000000" w:themeColor="text1"/>
                                    <w:kern w:val="24"/>
                                    <w:sz w:val="36"/>
                                    <w:szCs w:val="36"/>
                                  </w:rPr>
                                  <m:t>-1</m:t>
                                </m:r>
                              </m:oMath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7" name="文本框 18"/>
                        <wps:cNvSpPr txBox="1"/>
                        <wps:spPr>
                          <a:xfrm>
                            <a:off x="3525741" y="1130839"/>
                            <a:ext cx="73342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466E42E6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slot 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8" name="文本框 19"/>
                        <wps:cNvSpPr txBox="1"/>
                        <wps:spPr>
                          <a:xfrm>
                            <a:off x="5074432" y="1130839"/>
                            <a:ext cx="73342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F0957D6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slot 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19" name="文本框 20"/>
                        <wps:cNvSpPr txBox="1"/>
                        <wps:spPr>
                          <a:xfrm>
                            <a:off x="6631362" y="1101321"/>
                            <a:ext cx="73342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747B5DE4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slot 1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0" name="文本框 22"/>
                        <wps:cNvSpPr txBox="1"/>
                        <wps:spPr>
                          <a:xfrm>
                            <a:off x="8182111" y="1130839"/>
                            <a:ext cx="733425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3BCDFA06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slot 2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1" name="文本框 23"/>
                        <wps:cNvSpPr txBox="1"/>
                        <wps:spPr>
                          <a:xfrm>
                            <a:off x="187404" y="461944"/>
                            <a:ext cx="1182370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7FD9E4E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LTE MeNB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  <wps:wsp>
                        <wps:cNvPr id="22" name="文本框 24"/>
                        <wps:cNvSpPr txBox="1"/>
                        <wps:spPr>
                          <a:xfrm>
                            <a:off x="9406448" y="1101321"/>
                            <a:ext cx="1182370" cy="487680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7AF0648" w14:textId="77777777" w:rsidR="00473B4B" w:rsidRDefault="00473B4B" w:rsidP="00473B4B">
                              <w:pPr>
                                <w:pStyle w:val="NormalWeb"/>
                                <w:spacing w:before="0" w:beforeAutospacing="0" w:after="0" w:afterAutospacing="0"/>
                              </w:pPr>
                              <w:r>
                                <w:rPr>
                                  <w:rFonts w:asciiTheme="minorHAnsi" w:eastAsiaTheme="minorEastAsia" w:hAnsi="Calibri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w:t>NR SeNB</w:t>
                              </w:r>
                            </w:p>
                          </w:txbxContent>
                        </wps:txbx>
                        <wps:bodyPr wrap="square" rtlCol="0">
                          <a:sp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0C1E7411" id="组合 25" o:spid="_x0000_s1026" style="position:absolute;left:0;text-align:left;margin-left:-90pt;margin-top:-700pt;width:858.15pt;height:198.7pt;z-index:251659264" coordsize="108986,2523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Vb+abQYAAFc5AAAOAAAAZHJzL2Uyb0RvYy54bWzsW01v5DQYviPxH6Lc2YkT52vU6aq0dIW0&#10;LBVdtGc3k8xESuLguJ0pZwQcOXFCQnBD4h8gfs6Wv8FrO/GkmeluWrbDTJUepvmwHed9/Lx+v3Lw&#10;fJlnxlXMqpQWExM9s0wjLiI6TYvZxPz69ekngWlUnBRTktEinpjXcWU+P/z4o4NFOY5tOqfZNGYG&#10;DFJU40U5Meecl+PRqIrmcU6qZ7SMC7iZUJYTDqdsNpoysoDR82xkW5Y3WlA2LRmN4qqCqyfqpnko&#10;x0+SOOJfJkkVcyObmDA3Ln+Z/L0Qv6PDAzKeMVLO06ieBnnALHKSFvBQPdQJ4cS4ZOnaUHkaMVrR&#10;hD+LaD6iSZJGsXwHeBtkdd7mBaOXpXyX2XgxK7WYQLQdOT142OjV1Rkz0unEtD3TKEgOGP3z13dv&#10;f/rRsF0hnUU5G0OjF6w8L89YfWGmzsQLLxOWi//wKsZSyvVayzVeciOCi8gKwsBzfdOI4Kbt2g4K&#10;5OBkHM0Bn7WO0fyz93UdNY8eiRnqCS1KWEfVSlTVfxPV+ZyUsUSgElJoRKUl9esfb//+3bCVoGQT&#10;LaVqXIHANogIe74VuI5pgCww8iyE1SpspOUg5ISWrYSFPeSgUDTQL0zGJav4i5jmhjiYmAxWuVx8&#10;5OplxVXTpol4fkWzdHqaZpk8EcyKjzNmXBHgBImiuOBIds8u8y/oVF3HFvypecFlgZFs7jWXYTaS&#10;o2IkObdbD8mKvs9Vs211hoFFb0C1EaA84tdZLMbMiq/iBNYrrCpbTlrPYv19qjmZxuqye+e85YBi&#10;5AQEpMdWArljbDXnur3oGktFoztb75qY6qx7yCfTguvOeVpQtmmADFCqn6zaN0JSohFSuqDTa1ii&#10;jCo1V5XRaQor5CWp+BlhoNdAA4Kuhrtzyr41jQXovYlZfXNJWGwa2ecFsCVEGAtFKU+w69twwtp3&#10;Ltp3isv8mMIyQqDly0geivY8aw4TRvM3oKKPxFPhFikiePbEjDhrTo650seg5KP46Eg2A+VYEv6y&#10;OC8jMbiQkljRr5dvCCvrZc+BMK9ow1Ay7qx+1Vb0LOjRJadJKqmxklMtP9AWQsttQW0A5WsFq9SG&#10;I/AUTwbN8n61gVzXC10QNKgNUKg4DAPFz0Zv6AZCyX4IvVFQoTRgjoqS/RSJWqItQivkTkg1V1TM&#10;ZuK4XsoD1QeqP0Wq4w7V5Rbfm+raAhioPuzqw67etml3b1d3O1SvvaaeuzqYRAPJB5IPJN9tkq9i&#10;I8p09+5lurc9fmW6+49sut+yvze6scp7brv82rcHc7/l8utIwODyDy4/bFeDyz/dFKtt4hC1kV9H&#10;CiHkecvll7zv7Qf4foB9FwwM4dCLSKEMNEK8qQ6Oaj9h8PhlrHJNQw3BvSG4t6XgHuS5bjFdBud6&#10;M13H7hqmy1jvwHQRexzC+EMYf5fC+GGH6TI715vpnm37gQXxQe3215nQZlPXqmC3NvUhLzfk5SAl&#10;/RSD9Uh4NaryQXn3cOE+mbm2ma7c+05Gf0cpPWTmRH0QZN7F7pIMSXiRn3/ySXgEGXRF9puff7j5&#10;5c+b3743lF/d2sINvvyUisKlRg/cUcrjQk7ewaqUxwukIbCy2RHcsaCIShY9BYETQimFyo43NVNN&#10;kU7POh6dj+8Ux/DlxbLWV3UFyO3CjlU5hjSnS1ENcfq/V0OA0NeB6JZE9AXCCcMQIwUE8kDUXteq&#10;2iYYsp5Or519wkSXqLTI0c1d98UECBFaYV2w4jmBFdYFZdrS9aEsywOlIyzdxyaIqnFs+LxPmOha&#10;ghYm3SRjX0wCFwde2CisLkd85CJnSwpL4qHpvk946IRvC49uPqgvHjYoLQ9D7AgYsMYOG2Eok90e&#10;OzTR9wkNnZlrodGNsvdFA+pyMX6nwnIc192mwtI83ydIdNKjBUk3HNoXEse1Xb/BBDkWmFFCh6+s&#10;LN9xcGNk4cD3gkc0sqTO0lTfJ0h0dLoFSTdu1RcS1/IxdsB6ExGsnYBE832fINFhxBUkykF4gB/i&#10;eQ7sIw0kFnLsTv5g6yzRfN8jSED8ax6J3f22oy9LAhTYSDibO8MSzfd9gmSDt25rq7Gum+8LCQp8&#10;XEfeoTw+xN0oHSDm+PXuvpWtZBVn3CdINvjttjYd7wlJiC0P1/YvQhsUF9o+KB/YcZffp8HXe/Ir&#10;qfpLQ/F5YPtcfoqy+h7y8F8AAAD//wMAUEsDBBQABgAIAAAAIQDPcBw74wAAABEBAAAPAAAAZHJz&#10;L2Rvd25yZXYueG1sTI9Ba8JAEIXvhf6HZQq96W5MDRKzEZG2JylUC8Xbmh2TYHY2ZNck/vtuTvX2&#10;Zubx5nvZZjQN67FztSUJ0VwAQyqsrqmU8HP8mK2AOa9Iq8YSSrijg03+/JSpVNuBvrE/+JKFEHKp&#10;klB536acu6JCo9zctkjhdrGdUT6MXcl1p4YQbhq+ECLhRtUUPlSqxV2FxfVwMxI+BzVs4+i9318v&#10;u/vpuPz63Uco5evLuF0D8zj6fzNM+AEd8sB0tjfSjjUSZtFKhDJ+Um9ikpNpGScxsPO0FGKRAM8z&#10;/tgk/wMAAP//AwBQSwECLQAUAAYACAAAACEAtoM4kv4AAADhAQAAEwAAAAAAAAAAAAAAAAAAAAAA&#10;W0NvbnRlbnRfVHlwZXNdLnhtbFBLAQItABQABgAIAAAAIQA4/SH/1gAAAJQBAAALAAAAAAAAAAAA&#10;AAAAAC8BAABfcmVscy8ucmVsc1BLAQItABQABgAIAAAAIQAtVb+abQYAAFc5AAAOAAAAAAAAAAAA&#10;AAAAAC4CAABkcnMvZTJvRG9jLnhtbFBLAQItABQABgAIAAAAIQDPcBw74wAAABEBAAAPAAAAAAAA&#10;AAAAAAAAAMcIAABkcnMvZG93bnJldi54bWxQSwUGAAAAAAQABADzAAAA1wkAAAAA&#10;">
                <v:rect id="矩形 2" o:spid="_x0000_s1027" style="position:absolute;left:46708;top:4160;width:31139;height:46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ymcb8A&#10;AADaAAAADwAAAGRycy9kb3ducmV2LnhtbESPQYvCMBSE7wv+h/AEb2uqBynVKCIIPboq7B4fybMp&#10;Ni+liW3XX2+EhT0OM/MNs9mNrhE9daH2rGAxz0AQa29qrhRcL8fPHESIyAYbz6TglwLstpOPDRbG&#10;D/xF/TlWIkE4FKjAxtgWUgZtyWGY+5Y4eTffOYxJdpU0HQ4J7hq5zLKVdFhzWrDY0sGSvp8fTkH/&#10;/WNyXdk+f5oT1+NVl07mSs2m434NItIY/8N/7dIoWML7SroBcvsC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CjKZxvwAAANoAAAAPAAAAAAAAAAAAAAAAAJgCAABkcnMvZG93bnJl&#10;di54bWxQSwUGAAAAAAQABAD1AAAAhAMAAAAA&#10;" fillcolor="#bdd6ee [1300]" strokecolor="#5b9bd5 [3204]" strokeweight="1pt"/>
                <v:rect id="矩形 3" o:spid="_x0000_s1028" style="position:absolute;left:15569;top:10849;width:15570;height:46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QSs+sIA&#10;AADaAAAADwAAAGRycy9kb3ducmV2LnhtbESPQWsCMRSE74L/IbyCN01aRcrWrGhRar1V1/tj87pZ&#10;dvOybKJu/31TKHgcZuYbZrUeXCtu1Ifas4bnmQJBXHpTc6WhOO+nryBCRDbYeiYNPxRgnY9HK8yM&#10;v/MX3U6xEgnCIUMNNsYukzKUlhyGme+Ik/fte4cxyb6Spsd7grtWvii1lA5rTgsWO3q3VDanq9NQ&#10;Li6L/e6zPW6Lgz1+0KZRKhZaT56GzRuISEN8hP/bB6NhDn9X0g2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pBKz6wgAAANoAAAAPAAAAAAAAAAAAAAAAAJgCAABkcnMvZG93&#10;bnJldi54bWxQSwUGAAAAAAQABAD1AAAAhwMAAAAA&#10;" filled="f" strokecolor="#5b9bd5 [3204]" strokeweight="1pt">
                  <v:stroke dashstyle="longDash"/>
                </v:rect>
                <v:rect id="矩形 4" o:spid="_x0000_s1029" style="position:absolute;left:31139;top:10849;width:15569;height:46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00jsEA&#10;AADaAAAADwAAAGRycy9kb3ducmV2LnhtbESPQWsCMRSE70L/Q3hCb5pYFimrUbRUar11Xe+PzXOz&#10;uHlZNqlu/30jCB6HmfmGWa4H14or9aHxrGE2VSCIK28arjWUx93kHUSIyAZbz6ThjwKsVy+jJebG&#10;3/iHrkWsRYJwyFGDjbHLpQyVJYdh6jvi5J197zAm2dfS9HhLcNfKN6Xm0mHDacFiRx+Wqkvx6zRU&#10;2SnbfX63h225t4cv2lyUiqXWr+NhswARaYjP8KO9NxoyuF9JN0Cu/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btNI7BAAAA2gAAAA8AAAAAAAAAAAAAAAAAmAIAAGRycy9kb3du&#10;cmV2LnhtbFBLBQYAAAAABAAEAPUAAACGAwAAAAA=&#10;" filled="f" strokecolor="#5b9bd5 [3204]" strokeweight="1pt">
                  <v:stroke dashstyle="longDash"/>
                </v:rect>
                <v:rect id="矩形 5" o:spid="_x0000_s1030" style="position:absolute;top:10849;width:15569;height:46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aGRFcIA&#10;AADaAAAADwAAAGRycy9kb3ducmV2LnhtbESPQWsCMRSE74L/IbyCN01arJStWdGiaL1V1/tj87pZ&#10;dvOybKJu/31TKHgcZuYbZrkaXCtu1Ifas4bnmQJBXHpTc6WhOO+mbyBCRDbYeiYNPxRglY9HS8yM&#10;v/MX3U6xEgnCIUMNNsYukzKUlhyGme+Ik/fte4cxyb6Spsd7grtWvii1kA5rTgsWO/qwVDanq9NQ&#10;zi/z3fazPW6Kgz3uad0oFQutJ0/D+h1EpCE+wv/tg9HwCn9X0g2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JoZEVwgAAANoAAAAPAAAAAAAAAAAAAAAAAJgCAABkcnMvZG93&#10;bnJldi54bWxQSwUGAAAAAAQABAD1AAAAhwMAAAAA&#10;" filled="f" strokecolor="#5b9bd5 [3204]" strokeweight="1pt">
                  <v:stroke dashstyle="longDash"/>
                </v:rect>
                <v:rect id="矩形 6" o:spid="_x0000_s1031" style="position:absolute;left:46708;top:10849;width:15570;height:46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d9e0MAA&#10;AADaAAAADwAAAGRycy9kb3ducmV2LnhtbESPT2sCMRTE7wW/Q3iCl6JZRUS2RpGFQo/+vT+S52bp&#10;5mVJorv66ZtCocdhZn7DbHaDa8WDQmw8K5jPChDE2puGawWX8+d0DSImZIOtZ1LwpAi77ehtg6Xx&#10;PR/pcUq1yBCOJSqwKXWllFFbchhnviPO3s0HhynLUEsTsM9w18pFUaykw4bzgsWOKkv6+3R3CnRY&#10;Xm0VX0fshzYeDsv5e6WvSk3Gw/4DRKIh/Yf/2l9GwQp+r+QbILc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d9e0MAAAADaAAAADwAAAAAAAAAAAAAAAACYAgAAZHJzL2Rvd25y&#10;ZXYueG1sUEsFBgAAAAAEAAQA9QAAAIUDAAAAAA==&#10;" fillcolor="#f4b083 [1941]" strokecolor="#5b9bd5 [3204]" strokeweight="1pt"/>
                <v:rect id="矩形 7" o:spid="_x0000_s1032" style="position:absolute;left:77847;top:4160;width:31139;height:46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j+q+cIA&#10;AADaAAAADwAAAGRycy9kb3ducmV2LnhtbESPQWsCMRSE74L/IbyCN01apJatWdGiaL1V1/tj87pZ&#10;dvOybKJu/31TKHgcZuYbZrkaXCtu1Ifas4bnmQJBXHpTc6WhOO+mbyBCRDbYeiYNPxRglY9HS8yM&#10;v/MX3U6xEgnCIUMNNsYukzKUlhyGme+Ik/fte4cxyb6Spsd7grtWvij1Kh3WnBYsdvRhqWxOV6eh&#10;nF/mu+1ne9wUB3vc07pRKhZaT56G9TuISEN8hP/bB6NhAX9X0g2Q+S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P6r5wgAAANoAAAAPAAAAAAAAAAAAAAAAAJgCAABkcnMvZG93&#10;bnJldi54bWxQSwUGAAAAAAQABAD1AAAAhwMAAAAA&#10;" filled="f" strokecolor="#5b9bd5 [3204]" strokeweight="1pt">
                  <v:stroke dashstyle="longDash"/>
                </v:rect>
                <v:rect id="矩形 8" o:spid="_x0000_s1033" style="position:absolute;left:15569;top:4160;width:31139;height:4613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6A+i70A&#10;AADaAAAADwAAAGRycy9kb3ducmV2LnhtbERPTYvCMBC9C/sfwizsTRNFRLpG0WVl1Zu13odmtik2&#10;k9JErf/eHASPj/e9WPWuETfqQu1Zw3ikQBCX3tRcaShO2+EcRIjIBhvPpOFBAVbLj8ECM+PvfKRb&#10;HiuRQjhkqMHG2GZShtKSwzDyLXHi/n3nMCbYVdJ0eE/hrpETpWbSYc2pwWJLP5bKS351Gsrpebr9&#10;3TeHTbGzhz9aX5SKhdZfn/36G0SkPr7FL/fOaEhb05V0A+TyCQ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56A+i70AAADaAAAADwAAAAAAAAAAAAAAAACYAgAAZHJzL2Rvd25yZXYu&#10;eG1sUEsFBgAAAAAEAAQA9QAAAIIDAAAAAA==&#10;" filled="f" strokecolor="#5b9bd5 [3204]" strokeweight="1pt">
                  <v:stroke dashstyle="longDash"/>
                </v:rect>
                <v:rect id="矩形 9" o:spid="_x0000_s1034" style="position:absolute;left:62278;top:10849;width:15569;height:46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T74MEA&#10;AADaAAAADwAAAGRycy9kb3ducmV2LnhtbESPzWrDMBCE74W+g9hCbo2cQELiRgmhUOixTfNzXayN&#10;bWqtjFax3LevCoEeh5n5htnsRtepgYK0ng3MpgUo4srblmsDx6+35xUoicgWO89k4IcEdtvHhw2W&#10;1if+pOEQa5UhLCUaaGLsS62lasihTH1PnL2rDw5jlqHWNmDKcNfpeVEstcOW80KDPb02VH0fbs5A&#10;TGkxSHWx1+MqpI/zWU54EWMmT+P+BVSkMf6H7+13a2ANf1fyDdDbX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pE++DBAAAA2gAAAA8AAAAAAAAAAAAAAAAAmAIAAGRycy9kb3du&#10;cmV2LnhtbFBLBQYAAAAABAAEAPUAAACGAwAAAAA=&#10;" filled="f" strokecolor="#5b9bd5 [3204]" strokeweight="1pt"/>
                <v:rect id="矩形 10" o:spid="_x0000_s1035" style="position:absolute;left:77847;top:10849;width:15570;height:4614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NtLO8IA&#10;AADbAAAADwAAAGRycy9kb3ducmV2LnhtbESPQW/CMAyF75P2HyJP2m0kIDShjoBgGhrjBuvuVuM1&#10;FY1TNQHKv8cHJG623vN7n+fLIbTqTH1qIlsYjwwo4iq6hmsL5e/mbQYqZWSHbWSycKUEy8Xz0xwL&#10;Fy+8p/Mh10pCOBVowefcFVqnylPANIodsWj/sQ+YZe1r7Xq8SHho9cSYdx2wYWnw2NGnp+p4OAUL&#10;1fRvuvn6aXfrcut337Q6GpNLa19fhtUHqExDfpjv11sn+EIvv8gAenE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g20s7wgAAANsAAAAPAAAAAAAAAAAAAAAAAJgCAABkcnMvZG93&#10;bnJldi54bWxQSwUGAAAAAAQABAD1AAAAhwMAAAAA&#10;" filled="f" strokecolor="#5b9bd5 [3204]" strokeweight="1pt">
                  <v:stroke dashstyle="longDash"/>
                </v:re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2" o:spid="_x0000_s1036" type="#_x0000_t202" style="position:absolute;left:55563;top:6;width:13430;height:8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c/Co78A&#10;AADbAAAADwAAAGRycy9kb3ducmV2LnhtbERPTWvCQBC9F/wPywje6iYFRVJXkVrBQy/aeB+y02xo&#10;djZkRxP/vVsQepvH+5z1dvStulEfm8AG8nkGirgKtuHaQPl9eF2BioJssQ1MBu4UYbuZvKyxsGHg&#10;E93OUqsUwrFAA06kK7SOlSOPcR464sT9hN6jJNjX2vY4pHDf6rcsW2qPDacGhx19OKp+z1dvQMTu&#10;8nv56ePxMn7tB5dVCyyNmU3H3TsooVH+xU/30ab5Ofz9kg7Qmwc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lz8KjvwAAANsAAAAPAAAAAAAAAAAAAAAAAJgCAABkcnMvZG93bnJl&#10;di54bWxQSwUGAAAAAAQABAD1AAAAhAMAAAAA&#10;" filled="f" stroked="f">
                  <v:textbox style="mso-fit-shape-to-text:t">
                    <w:txbxContent>
                      <w:p w14:paraId="2413C3A0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Subframe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</m:t>
                              </m:r>
                            </m:sub>
                          </m:sSub>
                        </m:oMath>
                      </w:p>
                    </w:txbxContent>
                  </v:textbox>
                </v:shape>
                <v:shape id="文本框 13" o:spid="_x0000_s1037" type="#_x0000_t202" style="position:absolute;left:39994;top:16392;width:13430;height:8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R1c1L8A&#10;AADbAAAADwAAAGRycy9kb3ducmV2LnhtbERPTWvCQBC9C/0PywjedKNQKalrCLYFD1606X3ITrOh&#10;2dmQnZr4712h0Ns83ufsisl36kpDbAMbWK8yUMR1sC03BqrPj+ULqCjIFrvAZOBGEYr902yHuQ0j&#10;n+l6kUalEI45GnAifa51rB15jKvQEyfuOwweJcGh0XbAMYX7Tm+ybKs9tpwaHPZ0cFT/XH69ARFb&#10;rm/Vu4/Hr+n0NrqsfsbKmMV8Kl9BCU3yL/5zH22av4HHL+kAvb8D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VHVzUvwAAANsAAAAPAAAAAAAAAAAAAAAAAJgCAABkcnMvZG93bnJl&#10;di54bWxQSwUGAAAAAAQABAD1AAAAhAMAAAAA&#10;" filled="f" stroked="f">
                  <v:textbox style="mso-fit-shape-to-text:t">
                    <w:txbxContent>
                      <w:p w14:paraId="2544A1F9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Subframe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b>
                          </m:sSub>
                        </m:oMath>
                      </w:p>
                    </w:txbxContent>
                  </v:textbox>
                </v:shape>
                <v:shape id="文本框 14" o:spid="_x0000_s1038" type="#_x0000_t202" style="position:absolute;left:68990;top:16380;width:17501;height:8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lH5T78A&#10;AADbAAAADwAAAGRycy9kb3ducmV2LnhtbERPS2vCQBC+F/wPywje6sZK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6UflPvwAAANsAAAAPAAAAAAAAAAAAAAAAAJgCAABkcnMvZG93bnJl&#10;di54bWxQSwUGAAAAAAQABAD1AAAAhAMAAAAA&#10;" filled="f" stroked="f">
                  <v:textbox style="mso-fit-shape-to-text:t">
                    <w:txbxContent>
                      <w:p w14:paraId="5506A6EC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Subframe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+1</m:t>
                          </m:r>
                        </m:oMath>
                      </w:p>
                    </w:txbxContent>
                  </v:textbox>
                </v:shape>
                <v:shape id="文本框 15" o:spid="_x0000_s1039" type="#_x0000_t202" style="position:absolute;left:85486;top:6;width:17152;height:8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hhO78A&#10;AADbAAAADwAAAGRycy9kb3ducmV2LnhtbERPS2vCQBC+F/wPywje6sZiS4muIj7AQy+18T5kx2ww&#10;OxuyUxP/vSsUepuP7znL9eAbdaMu1oENzKYZKOIy2JorA8XP4fUTVBRki01gMnCnCOvV6GWJuQ09&#10;f9PtJJVKIRxzNOBE2lzrWDryGKehJU7cJXQeJcGu0rbDPoX7Rr9l2Yf2WHNqcNjS1lF5Pf16AyJ2&#10;M7sXex+P5+Fr17usfMfCmMl42CxACQ3yL/5zH22aP4f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1uGE7vwAAANsAAAAPAAAAAAAAAAAAAAAAAJgCAABkcnMvZG93bnJl&#10;di54bWxQSwUGAAAAAAQABAD1AAAAhAMAAAAA&#10;" filled="f" stroked="f">
                  <v:textbox style="mso-fit-shape-to-text:t">
                    <w:txbxContent>
                      <w:p w14:paraId="7B3E80ED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Subframe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+1</m:t>
                          </m:r>
                        </m:oMath>
                      </w:p>
                    </w:txbxContent>
                  </v:textbox>
                </v:shape>
                <v:shape id="文本框 16" o:spid="_x0000_s1040" type="#_x0000_t202" style="position:absolute;left:24136;width:17215;height:88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vTEoL4A&#10;AADbAAAADwAAAGRycy9kb3ducmV2LnhtbERPTWvCQBC9F/wPywje6saCRVJXEW3Bg5dqeh+yYzaY&#10;nQ3ZqYn/3hUEb/N4n7NcD75RV+piHdjAbJqBIi6DrbkyUJx+3hegoiBbbAKTgRtFWK9Gb0vMbej5&#10;l65HqVQK4ZijASfS5lrH0pHHOA0tceLOofMoCXaVth32Kdw3+iPLPrXHmlODw5a2jsrL8d8bELGb&#10;2a349nH/Nxx2vcvKORbGTMbD5guU0CAv8dO9t2n+HB6/pAP06g4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Nr0xKC+AAAA2wAAAA8AAAAAAAAAAAAAAAAAmAIAAGRycy9kb3ducmV2&#10;LnhtbFBLBQYAAAAABAAEAPUAAACDAwAAAAA=&#10;" filled="f" stroked="f">
                  <v:textbox style="mso-fit-shape-to-text:t">
                    <w:txbxContent>
                      <w:p w14:paraId="27E4F218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Subframe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1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-1</m:t>
                          </m:r>
                        </m:oMath>
                      </w:p>
                    </w:txbxContent>
                  </v:textbox>
                </v:shape>
                <v:shape id="文本框 17" o:spid="_x0000_s1041" type="#_x0000_t202" style="position:absolute;left:7084;top:16380;width:17335;height:884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iZa178A&#10;AADbAAAADwAAAGRycy9kb3ducmV2LnhtbERPTWvCQBC9C/0Pywi96cZCRVLXEGwLHrxU0/uQnWZD&#10;s7MhOzXx37uC0Ns83udsi8l36kJDbAMbWC0zUMR1sC03Bqrz52IDKgqyxS4wGbhShGL3NNtibsPI&#10;X3Q5SaNSCMccDTiRPtc61o48xmXoiRP3EwaPkuDQaDvgmMJ9p1+ybK09tpwaHPa0d1T/nv68ARFb&#10;rq7Vh4+H7+n4PrqsfsXKmOf5VL6BEprkX/xwH2yav4b7L+kAvbsB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qJlrXvwAAANsAAAAPAAAAAAAAAAAAAAAAAJgCAABkcnMvZG93bnJl&#10;di54bWxQSwUGAAAAAAQABAD1AAAAhAMAAAAA&#10;" filled="f" stroked="f">
                  <v:textbox style="mso-fit-shape-to-text:t">
                    <w:txbxContent>
                      <w:p w14:paraId="15284F13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 xml:space="preserve">Subframe </w:t>
                        </w:r>
                        <m:oMath>
                          <m:sSub>
                            <m:sSubPr>
                              <m:ctrlPr>
                                <w:rPr>
                                  <w:rFonts w:ascii="Cambria Math" w:eastAsiaTheme="minorEastAsia" w:hAnsi="Cambria Math" w:cstheme="minorBidi"/>
                                  <w:i/>
                                  <w:iCs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i</m:t>
                              </m:r>
                            </m:e>
                            <m:sub>
                              <m:r>
                                <w:rPr>
                                  <w:rFonts w:ascii="Cambria Math" w:eastAsiaTheme="minorEastAsia" w:hAnsi="Cambria Math" w:cstheme="minorBidi"/>
                                  <w:color w:val="000000" w:themeColor="text1"/>
                                  <w:kern w:val="24"/>
                                  <w:sz w:val="36"/>
                                  <w:szCs w:val="36"/>
                                </w:rPr>
                                <m:t>2</m:t>
                              </m:r>
                            </m:sub>
                          </m:sSub>
                          <m:r>
                            <w:rPr>
                              <w:rFonts w:ascii="Cambria Math" w:eastAsiaTheme="minorEastAsia" w:hAnsi="Cambria Math" w:cstheme="minorBidi"/>
                              <w:color w:val="000000" w:themeColor="text1"/>
                              <w:kern w:val="24"/>
                              <w:sz w:val="36"/>
                              <w:szCs w:val="36"/>
                            </w:rPr>
                            <m:t>-1</m:t>
                          </m:r>
                        </m:oMath>
                      </w:p>
                    </w:txbxContent>
                  </v:textbox>
                </v:shape>
                <v:shape id="文本框 18" o:spid="_x0000_s1042" type="#_x0000_t202" style="position:absolute;left:35257;top:11308;width:733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Wr/TL8A&#10;AADbAAAADwAAAGRycy9kb3ducmV2LnhtbERPS2vCQBC+F/wPywje6saCbYmuIj7AQy+18T5kx2ww&#10;OxuyUxP/vSsUepuP7znL9eAbdaMu1oENzKYZKOIy2JorA8XP4fUTVBRki01gMnCnCOvV6GWJuQ09&#10;f9PtJJVKIRxzNOBE2lzrWDryGKehJU7cJXQeJcGu0rbDPoX7Rr9l2bv2WHNqcNjS1lF5Pf16AyJ2&#10;M7sXex+P5+Fr17usnGNhzGQ8bBaghAb5F/+5jzbN/4D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Fav9MvwAAANsAAAAPAAAAAAAAAAAAAAAAAJgCAABkcnMvZG93bnJl&#10;di54bWxQSwUGAAAAAAQABAD1AAAAhAMAAAAA&#10;" filled="f" stroked="f">
                  <v:textbox style="mso-fit-shape-to-text:t">
                    <w:txbxContent>
                      <w:p w14:paraId="466E42E6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slot 1</w:t>
                        </w:r>
                      </w:p>
                    </w:txbxContent>
                  </v:textbox>
                </v:shape>
                <v:shape id="文本框 19" o:spid="_x0000_s1043" type="#_x0000_t202" style="position:absolute;left:50744;top:11308;width:733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PVrPsIA&#10;AADbAAAADwAAAGRycy9kb3ducmV2LnhtbESPQWvDMAyF74P9B6PCbqvTwcrI6pbSddDDLu2yu4jV&#10;ODSWQ6w26b+fDoPdJN7Te59Wmyl25kZDbhM7WMwLMMR18i03Dqrvz+c3MFmQPXaJycGdMmzWjw8r&#10;LH0a+Ui3kzRGQziX6CCI9KW1uQ4UMc9TT6zaOQ0RRdehsX7AUcNjZ1+KYmkjtqwNAXvaBaovp2t0&#10;IOK3i3u1j/nwM319jKGoX7Fy7mk2bd/BCE3yb/67PnjFV1j9RQew61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09Ws+wgAAANsAAAAPAAAAAAAAAAAAAAAAAJgCAABkcnMvZG93&#10;bnJldi54bWxQSwUGAAAAAAQABAD1AAAAhwMAAAAA&#10;" filled="f" stroked="f">
                  <v:textbox style="mso-fit-shape-to-text:t">
                    <w:txbxContent>
                      <w:p w14:paraId="0F0957D6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slot 2</w:t>
                        </w:r>
                      </w:p>
                    </w:txbxContent>
                  </v:textbox>
                </v:shape>
                <v:shape id="文本框 20" o:spid="_x0000_s1044" type="#_x0000_t202" style="position:absolute;left:66313;top:11013;width:733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7nOpb8A&#10;AADbAAAADwAAAGRycy9kb3ducmV2LnhtbERPS2vCQBC+F/wPywje6saCpY2uIj7AQy+18T5kx2ww&#10;OxuyUxP/vSsUepuP7znL9eAbdaMu1oENzKYZKOIy2JorA8XP4fUDVBRki01gMnCnCOvV6GWJuQ09&#10;f9PtJJVKIRxzNOBE2lzrWDryGKehJU7cJXQeJcGu0rbDPoX7Rr9l2bv2WHNqcNjS1lF5Pf16AyJ2&#10;M7sXex+P5+Fr17usnGNhzGQ8bBaghAb5F/+5jzbN/4TnL+kAvXo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buc6lvwAAANsAAAAPAAAAAAAAAAAAAAAAAJgCAABkcnMvZG93bnJl&#10;di54bWxQSwUGAAAAAAQABAD1AAAAhAMAAAAA&#10;" filled="f" stroked="f">
                  <v:textbox style="mso-fit-shape-to-text:t">
                    <w:txbxContent>
                      <w:p w14:paraId="747B5DE4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slot 1</w:t>
                        </w:r>
                      </w:p>
                    </w:txbxContent>
                  </v:textbox>
                </v:shape>
                <v:shape id="文本框 22" o:spid="_x0000_s1045" type="#_x0000_t202" style="position:absolute;left:81821;top:11308;width:733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+thb0A&#10;AADbAAAADwAAAGRycy9kb3ducmV2LnhtbERPTYvCMBC9C/6HMII3TRVclmoU0V3wsJd1631oxqbY&#10;TEoz2vrvNwfB4+N9b3aDb9SDulgHNrCYZ6CIy2BrrgwUf9+zT1BRkC02gcnAkyLstuPRBnMbev6l&#10;x1kqlUI45mjAibS51rF05DHOQ0ucuGvoPEqCXaVth30K941eZtmH9lhzanDY0sFReTvfvQERu188&#10;iy8fT5fh59i7rFxhYcx0MuzXoIQGeYtf7pM1sEzr05f0A/T2Hw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BO+thb0AAADbAAAADwAAAAAAAAAAAAAAAACYAgAAZHJzL2Rvd25yZXYu&#10;eG1sUEsFBgAAAAAEAAQA9QAAAIIDAAAAAA==&#10;" filled="f" stroked="f">
                  <v:textbox style="mso-fit-shape-to-text:t">
                    <w:txbxContent>
                      <w:p w14:paraId="3BCDFA06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slot 2</w:t>
                        </w:r>
                      </w:p>
                    </w:txbxContent>
                  </v:textbox>
                </v:shape>
                <v:shape id="文本框 23" o:spid="_x0000_s1046" type="#_x0000_t202" style="position:absolute;left:1874;top:4619;width:11823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6MIHsEA&#10;AADbAAAADwAAAGRycy9kb3ducmV2LnhtbESPQWvCQBSE7wX/w/IK3uomgiKpq0it4MGLNr0/sq/Z&#10;0OzbkH018d+7gtDjMDPfMOvt6Ft1pT42gQ3kswwUcRVsw7WB8uvwtgIVBdliG5gM3CjCdjN5WWNh&#10;w8Bnul6kVgnCsUADTqQrtI6VI49xFjri5P2E3qMk2dfa9jgkuG/1PMuW2mPDacFhRx+Oqt/Lnzcg&#10;Ynf5rfz08fg9nvaDy6oFlsZMX8fdOyihUf7Dz/bRGpjn8PiSfoDe3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ujCB7BAAAA2wAAAA8AAAAAAAAAAAAAAAAAmAIAAGRycy9kb3du&#10;cmV2LnhtbFBLBQYAAAAABAAEAPUAAACGAwAAAAA=&#10;" filled="f" stroked="f">
                  <v:textbox style="mso-fit-shape-to-text:t">
                    <w:txbxContent>
                      <w:p w14:paraId="67FD9E4E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LTE MeNB</w:t>
                        </w:r>
                      </w:p>
                    </w:txbxContent>
                  </v:textbox>
                </v:shape>
                <v:shape id="文本框 24" o:spid="_x0000_s1047" type="#_x0000_t202" style="position:absolute;left:94064;top:11013;width:11824;height:487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3GWacEA&#10;AADbAAAADwAAAGRycy9kb3ducmV2LnhtbESPQWvCQBSE7wX/w/IEb3VjwFJSVxGt4MFLbXp/ZJ/Z&#10;YPZtyL6a+O9dodDjMDPfMKvN6Ft1oz42gQ0s5hko4irYhmsD5ffh9R1UFGSLbWAycKcIm/XkZYWF&#10;DQN/0e0stUoQjgUacCJdoXWsHHmM89ARJ+8Seo+SZF9r2+OQ4L7VeZa9aY8NpwWHHe0cVdfzrzcg&#10;YreLe/np4/FnPO0Hl1VLLI2ZTcftByihUf7Df+2jNZDn8PySfoBe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txlmnBAAAA2wAAAA8AAAAAAAAAAAAAAAAAmAIAAGRycy9kb3du&#10;cmV2LnhtbFBLBQYAAAAABAAEAPUAAACGAwAAAAA=&#10;" filled="f" stroked="f">
                  <v:textbox style="mso-fit-shape-to-text:t">
                    <w:txbxContent>
                      <w:p w14:paraId="07AF0648" w14:textId="77777777" w:rsidR="00473B4B" w:rsidRDefault="00473B4B" w:rsidP="00473B4B">
                        <w:pPr>
                          <w:pStyle w:val="NormalWeb"/>
                          <w:spacing w:before="0" w:beforeAutospacing="0" w:after="0" w:afterAutospacing="0"/>
                        </w:pPr>
                        <w:r>
                          <w:rPr>
                            <w:rFonts w:asciiTheme="minorHAnsi" w:eastAsiaTheme="minorEastAsia" w:hAnsi="Calibri" w:cstheme="minorBidi"/>
                            <w:color w:val="000000" w:themeColor="text1"/>
                            <w:kern w:val="24"/>
                            <w:sz w:val="36"/>
                            <w:szCs w:val="36"/>
                          </w:rPr>
                          <w:t>NR SeNB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473B4B">
        <w:rPr>
          <w:rFonts w:ascii="Arial" w:eastAsia="Arial Unicode MS" w:hAnsi="Arial" w:cs="Arial"/>
          <w:b/>
        </w:rPr>
        <w:t>LTE and NR</w:t>
      </w:r>
    </w:p>
    <w:p w14:paraId="505C9F62" w14:textId="0E575F70" w:rsidR="00956E94" w:rsidRPr="003529C2" w:rsidRDefault="00956E94" w:rsidP="00956E94">
      <w:pPr>
        <w:pStyle w:val="Caption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Observation</w:t>
      </w:r>
      <w:r w:rsidRPr="003529C2">
        <w:rPr>
          <w:rFonts w:ascii="Times New Roman" w:hAnsi="Times New Roman" w:cs="Times New Roman"/>
          <w:b/>
          <w:i/>
        </w:rPr>
        <w:t xml:space="preserve"> </w:t>
      </w:r>
      <w:r w:rsidR="00F10932">
        <w:rPr>
          <w:rFonts w:ascii="Times New Roman" w:hAnsi="Times New Roman" w:cs="Times New Roman"/>
          <w:b/>
          <w:i/>
        </w:rPr>
        <w:t>1</w:t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 w:rsidR="00F10932">
        <w:rPr>
          <w:rFonts w:ascii="Times New Roman" w:hAnsi="Times New Roman" w:cs="Times New Roman"/>
          <w:i/>
        </w:rPr>
        <w:t>From the</w:t>
      </w:r>
      <w:r w:rsidR="00F10932" w:rsidRPr="00335E52">
        <w:rPr>
          <w:rFonts w:ascii="Times New Roman" w:hAnsi="Times New Roman" w:cs="Times New Roman"/>
          <w:i/>
        </w:rPr>
        <w:t xml:space="preserve"> aspect of </w:t>
      </w:r>
      <w:r w:rsidR="00F10932">
        <w:rPr>
          <w:rFonts w:ascii="Times New Roman" w:hAnsi="Times New Roman" w:cs="Times New Roman"/>
          <w:i/>
        </w:rPr>
        <w:t>power allocation, a</w:t>
      </w:r>
      <w:r w:rsidR="00F10932" w:rsidRPr="00F10932">
        <w:rPr>
          <w:rFonts w:ascii="Times New Roman" w:hAnsi="Times New Roman" w:cs="Times New Roman"/>
          <w:i/>
        </w:rPr>
        <w:t>llow</w:t>
      </w:r>
      <w:r w:rsidR="00F10932">
        <w:rPr>
          <w:rFonts w:ascii="Times New Roman" w:hAnsi="Times New Roman" w:cs="Times New Roman"/>
          <w:i/>
        </w:rPr>
        <w:t>ing</w:t>
      </w:r>
      <w:r w:rsidR="00F10932" w:rsidRPr="00F10932">
        <w:rPr>
          <w:rFonts w:ascii="Times New Roman" w:hAnsi="Times New Roman" w:cs="Times New Roman"/>
          <w:i/>
        </w:rPr>
        <w:t xml:space="preserve"> the synchronization at LTE subframe boundary and NR TTI boundary</w:t>
      </w:r>
      <w:r>
        <w:rPr>
          <w:rFonts w:ascii="Times New Roman" w:hAnsi="Times New Roman" w:cs="Times New Roman"/>
          <w:i/>
        </w:rPr>
        <w:t xml:space="preserve"> in LTE</w:t>
      </w:r>
      <w:r w:rsidR="00993613">
        <w:rPr>
          <w:rFonts w:ascii="Times New Roman" w:hAnsi="Times New Roman" w:cs="Times New Roman" w:hint="eastAsia"/>
          <w:i/>
        </w:rPr>
        <w:t>-</w:t>
      </w:r>
      <w:r>
        <w:rPr>
          <w:rFonts w:ascii="Times New Roman" w:hAnsi="Times New Roman" w:cs="Times New Roman" w:hint="eastAsia"/>
          <w:i/>
        </w:rPr>
        <w:t>NR DC</w:t>
      </w:r>
      <w:r w:rsidR="00F10932">
        <w:rPr>
          <w:rFonts w:ascii="Times New Roman" w:hAnsi="Times New Roman" w:cs="Times New Roman"/>
          <w:i/>
        </w:rPr>
        <w:t xml:space="preserve"> may not be helpful under current power allocation procedures.</w:t>
      </w:r>
    </w:p>
    <w:p w14:paraId="482D365C" w14:textId="48F508D4" w:rsidR="00956E94" w:rsidRDefault="00956E94" w:rsidP="00C81E8E">
      <w:pPr>
        <w:rPr>
          <w:rFonts w:cs="Times New Roman"/>
        </w:rPr>
      </w:pPr>
      <w:r w:rsidRPr="00956E94">
        <w:rPr>
          <w:rFonts w:hint="eastAsia"/>
        </w:rPr>
        <w:t>Base</w:t>
      </w:r>
      <w:r w:rsidRPr="00956E94">
        <w:t xml:space="preserve">d on the discussion above and the situation that </w:t>
      </w:r>
      <w:r w:rsidRPr="00956E94">
        <w:rPr>
          <w:rFonts w:cs="Times New Roman"/>
        </w:rPr>
        <w:t>power allocation for LTE</w:t>
      </w:r>
      <w:r w:rsidR="00993613">
        <w:rPr>
          <w:rFonts w:cs="Times New Roman" w:hint="eastAsia"/>
        </w:rPr>
        <w:t>-</w:t>
      </w:r>
      <w:r w:rsidRPr="00956E94">
        <w:rPr>
          <w:rFonts w:cs="Times New Roman" w:hint="eastAsia"/>
        </w:rPr>
        <w:t>NR DC</w:t>
      </w:r>
      <w:r w:rsidRPr="00956E94">
        <w:rPr>
          <w:rFonts w:cs="Times New Roman"/>
        </w:rPr>
        <w:t xml:space="preserve"> is </w:t>
      </w:r>
      <w:r w:rsidR="00F10932">
        <w:rPr>
          <w:rFonts w:cs="Times New Roman"/>
        </w:rPr>
        <w:t xml:space="preserve">under </w:t>
      </w:r>
      <w:r w:rsidRPr="00956E94">
        <w:rPr>
          <w:rFonts w:cs="Times New Roman"/>
        </w:rPr>
        <w:t>discussing in RAN1</w:t>
      </w:r>
      <w:r>
        <w:rPr>
          <w:rFonts w:cs="Times New Roman"/>
        </w:rPr>
        <w:t>, we make the following propose:</w:t>
      </w:r>
    </w:p>
    <w:p w14:paraId="3B28A29F" w14:textId="6FF187AD" w:rsidR="00956E94" w:rsidRPr="00956E94" w:rsidRDefault="003529C2" w:rsidP="00956E94">
      <w:pPr>
        <w:pStyle w:val="Caption"/>
        <w:rPr>
          <w:rFonts w:ascii="Times New Roman" w:hAnsi="Times New Roman" w:cs="Times New Roman"/>
          <w:i/>
        </w:rPr>
      </w:pPr>
      <w:bookmarkStart w:id="2" w:name="_Ref485119358"/>
      <w:r w:rsidRPr="003529C2">
        <w:rPr>
          <w:rFonts w:ascii="Times New Roman" w:hAnsi="Times New Roman" w:cs="Times New Roman"/>
          <w:b/>
          <w:i/>
        </w:rPr>
        <w:t xml:space="preserve">Proposal </w:t>
      </w:r>
      <w:r w:rsidRPr="003529C2">
        <w:rPr>
          <w:rFonts w:ascii="Times New Roman" w:hAnsi="Times New Roman" w:cs="Times New Roman"/>
          <w:b/>
          <w:i/>
        </w:rPr>
        <w:fldChar w:fldCharType="begin"/>
      </w:r>
      <w:r w:rsidRPr="003529C2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3529C2">
        <w:rPr>
          <w:rFonts w:ascii="Times New Roman" w:hAnsi="Times New Roman" w:cs="Times New Roman"/>
          <w:b/>
          <w:i/>
        </w:rPr>
        <w:fldChar w:fldCharType="separate"/>
      </w:r>
      <w:r w:rsidR="00AC7095">
        <w:rPr>
          <w:rFonts w:ascii="Times New Roman" w:hAnsi="Times New Roman" w:cs="Times New Roman"/>
          <w:b/>
          <w:i/>
          <w:noProof/>
        </w:rPr>
        <w:t>1</w:t>
      </w:r>
      <w:r w:rsidRPr="003529C2">
        <w:rPr>
          <w:rFonts w:ascii="Times New Roman" w:hAnsi="Times New Roman" w:cs="Times New Roman"/>
          <w:b/>
          <w:i/>
        </w:rPr>
        <w:fldChar w:fldCharType="end"/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 w:rsidR="00956E94">
        <w:rPr>
          <w:rFonts w:ascii="Times New Roman" w:hAnsi="Times New Roman" w:cs="Times New Roman"/>
          <w:i/>
        </w:rPr>
        <w:t>Discussion on definition of SSTD measurement should wait</w:t>
      </w:r>
      <w:bookmarkEnd w:id="2"/>
      <w:r w:rsidR="00956E94">
        <w:rPr>
          <w:rFonts w:ascii="Times New Roman" w:hAnsi="Times New Roman" w:cs="Times New Roman"/>
          <w:i/>
        </w:rPr>
        <w:t xml:space="preserve"> until the specification on </w:t>
      </w:r>
      <w:r w:rsidR="00956E94" w:rsidRPr="00956E94">
        <w:rPr>
          <w:rFonts w:ascii="Times New Roman" w:hAnsi="Times New Roman" w:cs="Times New Roman"/>
          <w:i/>
        </w:rPr>
        <w:t>power allocation for LTE</w:t>
      </w:r>
      <w:r w:rsidR="00993613">
        <w:rPr>
          <w:rFonts w:ascii="Times New Roman" w:hAnsi="Times New Roman" w:cs="Times New Roman" w:hint="eastAsia"/>
          <w:i/>
        </w:rPr>
        <w:t>-</w:t>
      </w:r>
      <w:r w:rsidR="00956E94" w:rsidRPr="00956E94">
        <w:rPr>
          <w:rFonts w:ascii="Times New Roman" w:hAnsi="Times New Roman" w:cs="Times New Roman" w:hint="eastAsia"/>
          <w:i/>
        </w:rPr>
        <w:t>NR DC</w:t>
      </w:r>
      <w:r w:rsidR="00956E94" w:rsidRPr="00956E94">
        <w:rPr>
          <w:rFonts w:ascii="Times New Roman" w:hAnsi="Times New Roman" w:cs="Times New Roman"/>
          <w:i/>
        </w:rPr>
        <w:t xml:space="preserve"> in RAN1</w:t>
      </w:r>
      <w:r w:rsidR="00F10932" w:rsidRPr="00F10932">
        <w:rPr>
          <w:rFonts w:ascii="Times New Roman" w:hAnsi="Times New Roman" w:cs="Times New Roman"/>
          <w:i/>
        </w:rPr>
        <w:t xml:space="preserve"> </w:t>
      </w:r>
      <w:r w:rsidR="00F10932" w:rsidRPr="00956E94">
        <w:rPr>
          <w:rFonts w:ascii="Times New Roman" w:hAnsi="Times New Roman" w:cs="Times New Roman"/>
          <w:i/>
        </w:rPr>
        <w:t>is finished</w:t>
      </w:r>
      <w:r w:rsidR="00F10932">
        <w:rPr>
          <w:rFonts w:ascii="Times New Roman" w:hAnsi="Times New Roman" w:cs="Times New Roman"/>
          <w:i/>
        </w:rPr>
        <w:t>.</w:t>
      </w:r>
    </w:p>
    <w:p w14:paraId="7A533A9F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Conclusion</w:t>
      </w:r>
    </w:p>
    <w:p w14:paraId="6EFF8164" w14:textId="30D36E76" w:rsidR="003735C4" w:rsidRDefault="00826188" w:rsidP="00C81E8E">
      <w:r>
        <w:t>I</w:t>
      </w:r>
      <w:r>
        <w:rPr>
          <w:rFonts w:hint="eastAsia"/>
        </w:rPr>
        <w:t xml:space="preserve">n </w:t>
      </w:r>
      <w:r>
        <w:t xml:space="preserve">this contribution we provide our view on definition of intra/inter frequency measurement scenarios in NR. </w:t>
      </w:r>
      <w:r w:rsidR="00B36D56">
        <w:t xml:space="preserve">After discussion, the following </w:t>
      </w:r>
      <w:r w:rsidR="00956E94">
        <w:t xml:space="preserve">observations and </w:t>
      </w:r>
      <w:r w:rsidR="00B36D56">
        <w:t>conclusions are made:</w:t>
      </w:r>
    </w:p>
    <w:p w14:paraId="7D7C45B0" w14:textId="77777777" w:rsidR="00F10932" w:rsidRPr="003529C2" w:rsidRDefault="00F10932" w:rsidP="00F10932">
      <w:pPr>
        <w:pStyle w:val="Caption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b/>
          <w:i/>
        </w:rPr>
        <w:t>Observation</w:t>
      </w:r>
      <w:r w:rsidRPr="003529C2">
        <w:rPr>
          <w:rFonts w:ascii="Times New Roman" w:hAnsi="Times New Roman" w:cs="Times New Roman"/>
          <w:b/>
          <w:i/>
        </w:rPr>
        <w:t xml:space="preserve"> </w:t>
      </w:r>
      <w:r>
        <w:rPr>
          <w:rFonts w:ascii="Times New Roman" w:hAnsi="Times New Roman" w:cs="Times New Roman"/>
          <w:b/>
          <w:i/>
        </w:rPr>
        <w:t>1</w:t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>From the</w:t>
      </w:r>
      <w:r w:rsidRPr="00335E52">
        <w:rPr>
          <w:rFonts w:ascii="Times New Roman" w:hAnsi="Times New Roman" w:cs="Times New Roman"/>
          <w:i/>
        </w:rPr>
        <w:t xml:space="preserve"> aspect of </w:t>
      </w:r>
      <w:r>
        <w:rPr>
          <w:rFonts w:ascii="Times New Roman" w:hAnsi="Times New Roman" w:cs="Times New Roman"/>
          <w:i/>
        </w:rPr>
        <w:t>power allocation, a</w:t>
      </w:r>
      <w:r w:rsidRPr="00F10932">
        <w:rPr>
          <w:rFonts w:ascii="Times New Roman" w:hAnsi="Times New Roman" w:cs="Times New Roman"/>
          <w:i/>
        </w:rPr>
        <w:t>llow</w:t>
      </w:r>
      <w:r>
        <w:rPr>
          <w:rFonts w:ascii="Times New Roman" w:hAnsi="Times New Roman" w:cs="Times New Roman"/>
          <w:i/>
        </w:rPr>
        <w:t>ing</w:t>
      </w:r>
      <w:r w:rsidRPr="00F10932">
        <w:rPr>
          <w:rFonts w:ascii="Times New Roman" w:hAnsi="Times New Roman" w:cs="Times New Roman"/>
          <w:i/>
        </w:rPr>
        <w:t xml:space="preserve"> the synchronization at LTE subframe boundary and NR TTI boundary</w:t>
      </w:r>
      <w:r>
        <w:rPr>
          <w:rFonts w:ascii="Times New Roman" w:hAnsi="Times New Roman" w:cs="Times New Roman"/>
          <w:i/>
        </w:rPr>
        <w:t xml:space="preserve"> in LTE</w:t>
      </w:r>
      <w:r>
        <w:rPr>
          <w:rFonts w:ascii="Times New Roman" w:hAnsi="Times New Roman" w:cs="Times New Roman" w:hint="eastAsia"/>
          <w:i/>
        </w:rPr>
        <w:t>-NR DC</w:t>
      </w:r>
      <w:r>
        <w:rPr>
          <w:rFonts w:ascii="Times New Roman" w:hAnsi="Times New Roman" w:cs="Times New Roman"/>
          <w:i/>
        </w:rPr>
        <w:t xml:space="preserve"> may not be helpful under current power allocation procedures.</w:t>
      </w:r>
    </w:p>
    <w:p w14:paraId="10C1883A" w14:textId="77777777" w:rsidR="00F10932" w:rsidRPr="00956E94" w:rsidRDefault="00F10932" w:rsidP="00F10932">
      <w:pPr>
        <w:pStyle w:val="Caption"/>
        <w:rPr>
          <w:rFonts w:ascii="Times New Roman" w:hAnsi="Times New Roman" w:cs="Times New Roman"/>
          <w:i/>
        </w:rPr>
      </w:pPr>
      <w:r w:rsidRPr="003529C2">
        <w:rPr>
          <w:rFonts w:ascii="Times New Roman" w:hAnsi="Times New Roman" w:cs="Times New Roman"/>
          <w:b/>
          <w:i/>
        </w:rPr>
        <w:t xml:space="preserve">Proposal </w:t>
      </w:r>
      <w:r w:rsidRPr="003529C2">
        <w:rPr>
          <w:rFonts w:ascii="Times New Roman" w:hAnsi="Times New Roman" w:cs="Times New Roman"/>
          <w:b/>
          <w:i/>
        </w:rPr>
        <w:fldChar w:fldCharType="begin"/>
      </w:r>
      <w:r w:rsidRPr="003529C2">
        <w:rPr>
          <w:rFonts w:ascii="Times New Roman" w:hAnsi="Times New Roman" w:cs="Times New Roman"/>
          <w:b/>
          <w:i/>
        </w:rPr>
        <w:instrText xml:space="preserve"> SEQ Proposal \* ARABIC </w:instrText>
      </w:r>
      <w:r w:rsidRPr="003529C2">
        <w:rPr>
          <w:rFonts w:ascii="Times New Roman" w:hAnsi="Times New Roman" w:cs="Times New Roman"/>
          <w:b/>
          <w:i/>
        </w:rPr>
        <w:fldChar w:fldCharType="separate"/>
      </w:r>
      <w:r>
        <w:rPr>
          <w:rFonts w:ascii="Times New Roman" w:hAnsi="Times New Roman" w:cs="Times New Roman"/>
          <w:b/>
          <w:i/>
          <w:noProof/>
        </w:rPr>
        <w:t>1</w:t>
      </w:r>
      <w:r w:rsidRPr="003529C2">
        <w:rPr>
          <w:rFonts w:ascii="Times New Roman" w:hAnsi="Times New Roman" w:cs="Times New Roman"/>
          <w:b/>
          <w:i/>
        </w:rPr>
        <w:fldChar w:fldCharType="end"/>
      </w:r>
      <w:r w:rsidRPr="00EC1682">
        <w:rPr>
          <w:rFonts w:ascii="Times New Roman" w:hAnsi="Times New Roman" w:cs="Times New Roman"/>
          <w:b/>
          <w:i/>
        </w:rPr>
        <w:t>:</w:t>
      </w:r>
      <w:r w:rsidRPr="003529C2">
        <w:rPr>
          <w:rFonts w:ascii="Times New Roman" w:hAnsi="Times New Roman" w:cs="Times New Roman"/>
          <w:i/>
        </w:rPr>
        <w:t xml:space="preserve"> </w:t>
      </w:r>
      <w:r>
        <w:rPr>
          <w:rFonts w:ascii="Times New Roman" w:hAnsi="Times New Roman" w:cs="Times New Roman"/>
          <w:i/>
        </w:rPr>
        <w:t xml:space="preserve">Discussion on definition of SSTD measurement should wait until the specification on </w:t>
      </w:r>
      <w:r w:rsidRPr="00956E94">
        <w:rPr>
          <w:rFonts w:ascii="Times New Roman" w:hAnsi="Times New Roman" w:cs="Times New Roman"/>
          <w:i/>
        </w:rPr>
        <w:t>power allocation for LTE</w:t>
      </w:r>
      <w:r>
        <w:rPr>
          <w:rFonts w:ascii="Times New Roman" w:hAnsi="Times New Roman" w:cs="Times New Roman" w:hint="eastAsia"/>
          <w:i/>
        </w:rPr>
        <w:t>-</w:t>
      </w:r>
      <w:r w:rsidRPr="00956E94">
        <w:rPr>
          <w:rFonts w:ascii="Times New Roman" w:hAnsi="Times New Roman" w:cs="Times New Roman" w:hint="eastAsia"/>
          <w:i/>
        </w:rPr>
        <w:t>NR DC</w:t>
      </w:r>
      <w:r w:rsidRPr="00956E94">
        <w:rPr>
          <w:rFonts w:ascii="Times New Roman" w:hAnsi="Times New Roman" w:cs="Times New Roman"/>
          <w:i/>
        </w:rPr>
        <w:t xml:space="preserve"> in RAN1</w:t>
      </w:r>
      <w:r w:rsidRPr="00F10932">
        <w:rPr>
          <w:rFonts w:ascii="Times New Roman" w:hAnsi="Times New Roman" w:cs="Times New Roman"/>
          <w:i/>
        </w:rPr>
        <w:t xml:space="preserve"> </w:t>
      </w:r>
      <w:r w:rsidRPr="00956E94">
        <w:rPr>
          <w:rFonts w:ascii="Times New Roman" w:hAnsi="Times New Roman" w:cs="Times New Roman"/>
          <w:i/>
        </w:rPr>
        <w:t>is finished</w:t>
      </w:r>
      <w:r>
        <w:rPr>
          <w:rFonts w:ascii="Times New Roman" w:hAnsi="Times New Roman" w:cs="Times New Roman"/>
          <w:i/>
        </w:rPr>
        <w:t>.</w:t>
      </w:r>
    </w:p>
    <w:p w14:paraId="2D302014" w14:textId="77777777" w:rsidR="0097202C" w:rsidRPr="00C560A6" w:rsidRDefault="0097202C" w:rsidP="0097202C">
      <w:pPr>
        <w:pStyle w:val="Heading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Reference</w:t>
      </w:r>
    </w:p>
    <w:p w14:paraId="4707AF30" w14:textId="12F19E17" w:rsidR="00993613" w:rsidRPr="00993613" w:rsidRDefault="0097202C" w:rsidP="00993613">
      <w:pPr>
        <w:pStyle w:val="Caption"/>
        <w:rPr>
          <w:rFonts w:ascii="Times New Roman" w:eastAsia="Gill Sans MT Pro Light" w:hAnsi="Times New Roman" w:cs="Times New Roman"/>
          <w:lang w:val="en-GB"/>
        </w:rPr>
      </w:pPr>
      <w:bookmarkStart w:id="3" w:name="_Ref480902077"/>
      <w:r w:rsidRPr="0073243D">
        <w:rPr>
          <w:rFonts w:ascii="Times New Roman" w:hAnsi="Times New Roman" w:cs="Times New Roman"/>
        </w:rPr>
        <w:t>[</w:t>
      </w:r>
      <w:r w:rsidRPr="0073243D">
        <w:rPr>
          <w:rFonts w:ascii="Times New Roman" w:hAnsi="Times New Roman" w:cs="Times New Roman"/>
        </w:rPr>
        <w:fldChar w:fldCharType="begin"/>
      </w:r>
      <w:r w:rsidRPr="0073243D">
        <w:rPr>
          <w:rFonts w:ascii="Times New Roman" w:hAnsi="Times New Roman" w:cs="Times New Roman"/>
        </w:rPr>
        <w:instrText xml:space="preserve"> SEQ reference \* ARABIC </w:instrText>
      </w:r>
      <w:r w:rsidRPr="0073243D">
        <w:rPr>
          <w:rFonts w:ascii="Times New Roman" w:hAnsi="Times New Roman" w:cs="Times New Roman"/>
        </w:rPr>
        <w:fldChar w:fldCharType="separate"/>
      </w:r>
      <w:r w:rsidR="008B4A77">
        <w:rPr>
          <w:rFonts w:ascii="Times New Roman" w:hAnsi="Times New Roman" w:cs="Times New Roman"/>
          <w:noProof/>
        </w:rPr>
        <w:t>1</w:t>
      </w:r>
      <w:r w:rsidRPr="0073243D">
        <w:rPr>
          <w:rFonts w:ascii="Times New Roman" w:hAnsi="Times New Roman" w:cs="Times New Roman"/>
        </w:rPr>
        <w:fldChar w:fldCharType="end"/>
      </w:r>
      <w:bookmarkEnd w:id="3"/>
      <w:r w:rsidRPr="0073243D">
        <w:rPr>
          <w:rFonts w:ascii="Times New Roman" w:hAnsi="Times New Roman" w:cs="Times New Roman"/>
        </w:rPr>
        <w:t xml:space="preserve">] 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RAN4 NR 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AH#2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 Chairmen R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eport</w:t>
      </w:r>
      <w:r w:rsidR="00993613">
        <w:rPr>
          <w:rFonts w:ascii="Times New Roman" w:eastAsia="Gill Sans MT Pro Light" w:hAnsi="Times New Roman" w:cs="Times New Roman"/>
          <w:lang w:val="en-GB"/>
        </w:rPr>
        <w:t>.</w:t>
      </w:r>
    </w:p>
    <w:p w14:paraId="2A4B7B81" w14:textId="788A200F" w:rsidR="0097202C" w:rsidRDefault="002163AB" w:rsidP="002163AB">
      <w:pPr>
        <w:pStyle w:val="Caption"/>
        <w:rPr>
          <w:rFonts w:ascii="Times New Roman" w:eastAsia="Gill Sans MT Pro Light" w:hAnsi="Times New Roman" w:cs="Times New Roman"/>
          <w:lang w:val="en-GB"/>
        </w:rPr>
      </w:pPr>
      <w:bookmarkStart w:id="4" w:name="_Ref484608811"/>
      <w:r>
        <w:rPr>
          <w:rFonts w:ascii="Times New Roman" w:eastAsia="Gill Sans MT Pro Light" w:hAnsi="Times New Roman" w:cs="Times New Roman"/>
          <w:lang w:val="en-GB"/>
        </w:rPr>
        <w:t>[</w:t>
      </w:r>
      <w:r>
        <w:rPr>
          <w:rFonts w:ascii="Times New Roman" w:eastAsia="Gill Sans MT Pro Light" w:hAnsi="Times New Roman" w:cs="Times New Roman"/>
          <w:lang w:val="en-GB"/>
        </w:rPr>
        <w:fldChar w:fldCharType="begin"/>
      </w:r>
      <w:r>
        <w:rPr>
          <w:rFonts w:ascii="Times New Roman" w:eastAsia="Gill Sans MT Pro Light" w:hAnsi="Times New Roman" w:cs="Times New Roman"/>
          <w:lang w:val="en-GB"/>
        </w:rPr>
        <w:instrText xml:space="preserve"> SEQ reference \* ARABIC </w:instrText>
      </w:r>
      <w:r>
        <w:rPr>
          <w:rFonts w:ascii="Times New Roman" w:eastAsia="Gill Sans MT Pro Light" w:hAnsi="Times New Roman" w:cs="Times New Roman"/>
          <w:lang w:val="en-GB"/>
        </w:rPr>
        <w:fldChar w:fldCharType="separate"/>
      </w:r>
      <w:r w:rsidR="008B4A77">
        <w:rPr>
          <w:rFonts w:ascii="Times New Roman" w:eastAsia="Gill Sans MT Pro Light" w:hAnsi="Times New Roman" w:cs="Times New Roman"/>
          <w:noProof/>
          <w:lang w:val="en-GB"/>
        </w:rPr>
        <w:t>2</w:t>
      </w:r>
      <w:r>
        <w:rPr>
          <w:rFonts w:ascii="Times New Roman" w:eastAsia="Gill Sans MT Pro Light" w:hAnsi="Times New Roman" w:cs="Times New Roman"/>
          <w:lang w:val="en-GB"/>
        </w:rPr>
        <w:fldChar w:fldCharType="end"/>
      </w:r>
      <w:bookmarkEnd w:id="4"/>
      <w:r>
        <w:rPr>
          <w:rFonts w:ascii="Times New Roman" w:eastAsia="Gill Sans MT Pro Light" w:hAnsi="Times New Roman" w:cs="Times New Roman"/>
          <w:lang w:val="en-GB"/>
        </w:rPr>
        <w:t xml:space="preserve">] 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R4-1706608</w:t>
      </w:r>
      <w:r w:rsidR="00993613">
        <w:rPr>
          <w:rFonts w:ascii="Times New Roman" w:eastAsia="Gill Sans MT Pro Light" w:hAnsi="Times New Roman" w:cs="Times New Roman"/>
          <w:lang w:val="en-GB"/>
        </w:rPr>
        <w:t xml:space="preserve">, </w:t>
      </w:r>
      <w:r w:rsidR="00993613" w:rsidRPr="00993613">
        <w:rPr>
          <w:rFonts w:ascii="Times New Roman" w:eastAsia="Gill Sans MT Pro Light" w:hAnsi="Times New Roman" w:cs="Times New Roman"/>
          <w:lang w:val="en-GB"/>
        </w:rPr>
        <w:t>Way forward for NR RRM</w:t>
      </w:r>
      <w:r w:rsidR="00993613">
        <w:rPr>
          <w:rFonts w:ascii="Times New Roman" w:eastAsia="Gill Sans MT Pro Light" w:hAnsi="Times New Roman" w:cs="Times New Roman"/>
          <w:lang w:val="en-GB"/>
        </w:rPr>
        <w:t>, Ericsson.</w:t>
      </w:r>
    </w:p>
    <w:p w14:paraId="4120F78D" w14:textId="201CF6F6" w:rsidR="00993613" w:rsidRDefault="00993613" w:rsidP="00993613">
      <w:pPr>
        <w:rPr>
          <w:rFonts w:cs="Arial"/>
          <w:lang w:eastAsia="en-US"/>
        </w:rPr>
      </w:pPr>
      <w:r>
        <w:rPr>
          <w:lang w:val="en-GB"/>
        </w:rPr>
        <w:t xml:space="preserve">[3] </w:t>
      </w:r>
      <w:r>
        <w:rPr>
          <w:rFonts w:cs="Arial"/>
          <w:lang w:eastAsia="en-US"/>
        </w:rPr>
        <w:t>TS36.214.</w:t>
      </w:r>
    </w:p>
    <w:p w14:paraId="1DC4C096" w14:textId="4D184999" w:rsidR="00993613" w:rsidRDefault="00993613" w:rsidP="00993613">
      <w:pPr>
        <w:rPr>
          <w:rFonts w:cs="Arial"/>
          <w:lang w:eastAsia="en-US"/>
        </w:rPr>
      </w:pPr>
      <w:r>
        <w:rPr>
          <w:rFonts w:cs="Arial"/>
          <w:lang w:eastAsia="en-US"/>
        </w:rPr>
        <w:t>[4] TS36.331.</w:t>
      </w:r>
    </w:p>
    <w:p w14:paraId="4391D800" w14:textId="651ED5E5" w:rsidR="00993613" w:rsidRDefault="00993613" w:rsidP="00993613">
      <w:pPr>
        <w:rPr>
          <w:rFonts w:cs="Arial"/>
          <w:lang w:eastAsia="en-US"/>
        </w:rPr>
      </w:pPr>
      <w:r>
        <w:rPr>
          <w:rFonts w:cs="Arial"/>
          <w:lang w:eastAsia="en-US"/>
        </w:rPr>
        <w:t xml:space="preserve">[5] </w:t>
      </w:r>
      <w:r w:rsidRPr="00993613">
        <w:rPr>
          <w:rFonts w:cs="Arial"/>
          <w:lang w:eastAsia="en-US"/>
        </w:rPr>
        <w:t>R4-1706806</w:t>
      </w:r>
      <w:r>
        <w:rPr>
          <w:rFonts w:cs="Arial"/>
          <w:lang w:eastAsia="en-US"/>
        </w:rPr>
        <w:t xml:space="preserve">, </w:t>
      </w:r>
      <w:r w:rsidRPr="00993613">
        <w:rPr>
          <w:rFonts w:cs="Arial"/>
          <w:lang w:eastAsia="en-US"/>
        </w:rPr>
        <w:t>SSTTD reporting for LTE-NR dual connectivity</w:t>
      </w:r>
      <w:r>
        <w:rPr>
          <w:rFonts w:cs="Arial"/>
          <w:lang w:eastAsia="en-US"/>
        </w:rPr>
        <w:t>, Ericsson.</w:t>
      </w:r>
    </w:p>
    <w:p w14:paraId="6C6AEE90" w14:textId="431B5845" w:rsidR="00993613" w:rsidRDefault="00993613" w:rsidP="00993613">
      <w:r>
        <w:rPr>
          <w:rFonts w:cs="Arial"/>
          <w:lang w:eastAsia="en-US"/>
        </w:rPr>
        <w:t xml:space="preserve">[6] </w:t>
      </w:r>
      <w:r>
        <w:t>TS 36.213</w:t>
      </w:r>
    </w:p>
    <w:p w14:paraId="0B163113" w14:textId="5C476E62" w:rsidR="00993613" w:rsidRPr="00993613" w:rsidRDefault="00993613" w:rsidP="00993613">
      <w:pPr>
        <w:rPr>
          <w:rFonts w:cs="Arial"/>
        </w:rPr>
      </w:pPr>
      <w:r>
        <w:rPr>
          <w:rFonts w:cs="Arial" w:hint="eastAsia"/>
        </w:rPr>
        <w:t>[</w:t>
      </w:r>
      <w:r>
        <w:rPr>
          <w:rFonts w:cs="Arial"/>
        </w:rPr>
        <w:t>7</w:t>
      </w:r>
      <w:r>
        <w:rPr>
          <w:rFonts w:cs="Arial" w:hint="eastAsia"/>
        </w:rPr>
        <w:t>]</w:t>
      </w:r>
      <w:r>
        <w:rPr>
          <w:rFonts w:cs="Arial"/>
        </w:rPr>
        <w:t xml:space="preserve"> TS 36.133</w:t>
      </w:r>
    </w:p>
    <w:sectPr w:rsidR="00993613" w:rsidRPr="0099361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B826CC" w14:textId="77777777" w:rsidR="000152B3" w:rsidRDefault="000152B3" w:rsidP="002F5416">
      <w:pPr>
        <w:spacing w:after="0"/>
      </w:pPr>
      <w:r>
        <w:separator/>
      </w:r>
    </w:p>
  </w:endnote>
  <w:endnote w:type="continuationSeparator" w:id="0">
    <w:p w14:paraId="0C2EA668" w14:textId="77777777" w:rsidR="000152B3" w:rsidRDefault="000152B3" w:rsidP="002F5416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Gill Sans MT Pro Light">
    <w:altName w:val="Times New Roman"/>
    <w:panose1 w:val="00000000000000000000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3CB9A4A" w14:textId="77777777" w:rsidR="000152B3" w:rsidRDefault="000152B3" w:rsidP="002F5416">
      <w:pPr>
        <w:spacing w:after="0"/>
      </w:pPr>
      <w:r>
        <w:separator/>
      </w:r>
    </w:p>
  </w:footnote>
  <w:footnote w:type="continuationSeparator" w:id="0">
    <w:p w14:paraId="27A8C417" w14:textId="77777777" w:rsidR="000152B3" w:rsidRDefault="000152B3" w:rsidP="002F5416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70764F"/>
    <w:multiLevelType w:val="hybridMultilevel"/>
    <w:tmpl w:val="F11C5A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4B1E09"/>
    <w:multiLevelType w:val="hybridMultilevel"/>
    <w:tmpl w:val="F050E4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444F59F0"/>
    <w:multiLevelType w:val="multilevel"/>
    <w:tmpl w:val="B1F21226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64E15FB5"/>
    <w:multiLevelType w:val="hybridMultilevel"/>
    <w:tmpl w:val="BE24F882"/>
    <w:lvl w:ilvl="0" w:tplc="04090001">
      <w:start w:val="2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 w15:restartNumberingAfterBreak="0">
    <w:nsid w:val="6A4B7DFD"/>
    <w:multiLevelType w:val="hybridMultilevel"/>
    <w:tmpl w:val="43F8D246"/>
    <w:lvl w:ilvl="0" w:tplc="04090001">
      <w:start w:val="2"/>
      <w:numFmt w:val="bullet"/>
      <w:lvlText w:val="-"/>
      <w:lvlJc w:val="left"/>
      <w:pPr>
        <w:ind w:left="420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E3E0DAF"/>
    <w:multiLevelType w:val="hybridMultilevel"/>
    <w:tmpl w:val="81540AD8"/>
    <w:lvl w:ilvl="0" w:tplc="592C4BF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73FB30AC"/>
    <w:multiLevelType w:val="hybridMultilevel"/>
    <w:tmpl w:val="32E02DC2"/>
    <w:lvl w:ilvl="0" w:tplc="8DB863D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7DE64185"/>
    <w:multiLevelType w:val="hybridMultilevel"/>
    <w:tmpl w:val="ED16056A"/>
    <w:lvl w:ilvl="0" w:tplc="F260E33A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7ECF17D0"/>
    <w:multiLevelType w:val="hybridMultilevel"/>
    <w:tmpl w:val="63367200"/>
    <w:lvl w:ilvl="0" w:tplc="08090001">
      <w:start w:val="1"/>
      <w:numFmt w:val="bullet"/>
      <w:lvlText w:val=""/>
      <w:lvlJc w:val="left"/>
      <w:pPr>
        <w:ind w:left="100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6"/>
  </w:num>
  <w:num w:numId="4">
    <w:abstractNumId w:val="7"/>
  </w:num>
  <w:num w:numId="5">
    <w:abstractNumId w:val="3"/>
  </w:num>
  <w:num w:numId="6">
    <w:abstractNumId w:val="1"/>
  </w:num>
  <w:num w:numId="7">
    <w:abstractNumId w:val="4"/>
  </w:num>
  <w:num w:numId="8">
    <w:abstractNumId w:val="0"/>
  </w:num>
  <w:num w:numId="9">
    <w:abstractNumId w:val="8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D1386"/>
    <w:rsid w:val="00001017"/>
    <w:rsid w:val="00002EF1"/>
    <w:rsid w:val="000076B8"/>
    <w:rsid w:val="000152B3"/>
    <w:rsid w:val="00017B64"/>
    <w:rsid w:val="00027C7C"/>
    <w:rsid w:val="000352F3"/>
    <w:rsid w:val="000409C7"/>
    <w:rsid w:val="00041A0F"/>
    <w:rsid w:val="00043F0E"/>
    <w:rsid w:val="0005452B"/>
    <w:rsid w:val="00063578"/>
    <w:rsid w:val="00063699"/>
    <w:rsid w:val="00084262"/>
    <w:rsid w:val="00085D33"/>
    <w:rsid w:val="00097144"/>
    <w:rsid w:val="000B3686"/>
    <w:rsid w:val="000C56D9"/>
    <w:rsid w:val="000D26E2"/>
    <w:rsid w:val="000D45B0"/>
    <w:rsid w:val="000D6332"/>
    <w:rsid w:val="000E1B11"/>
    <w:rsid w:val="000E2F9D"/>
    <w:rsid w:val="000F2281"/>
    <w:rsid w:val="001014B4"/>
    <w:rsid w:val="001042B1"/>
    <w:rsid w:val="0011402E"/>
    <w:rsid w:val="00117F7D"/>
    <w:rsid w:val="00123FE0"/>
    <w:rsid w:val="00125A18"/>
    <w:rsid w:val="00133AB1"/>
    <w:rsid w:val="00164389"/>
    <w:rsid w:val="00170484"/>
    <w:rsid w:val="00175E9E"/>
    <w:rsid w:val="0018440A"/>
    <w:rsid w:val="001A29E1"/>
    <w:rsid w:val="001B3B8B"/>
    <w:rsid w:val="001D2CCB"/>
    <w:rsid w:val="001E1CD6"/>
    <w:rsid w:val="001E48BD"/>
    <w:rsid w:val="002011E5"/>
    <w:rsid w:val="002037FB"/>
    <w:rsid w:val="00215790"/>
    <w:rsid w:val="002163AB"/>
    <w:rsid w:val="00217595"/>
    <w:rsid w:val="00234F2D"/>
    <w:rsid w:val="00246B53"/>
    <w:rsid w:val="002530FF"/>
    <w:rsid w:val="00267644"/>
    <w:rsid w:val="00270CF9"/>
    <w:rsid w:val="0028095F"/>
    <w:rsid w:val="00281725"/>
    <w:rsid w:val="002A20DA"/>
    <w:rsid w:val="002B16F5"/>
    <w:rsid w:val="002C4CC6"/>
    <w:rsid w:val="002C58C7"/>
    <w:rsid w:val="002D0602"/>
    <w:rsid w:val="002D3F03"/>
    <w:rsid w:val="002D68F7"/>
    <w:rsid w:val="002E61AA"/>
    <w:rsid w:val="002F5416"/>
    <w:rsid w:val="002F6965"/>
    <w:rsid w:val="003011B0"/>
    <w:rsid w:val="0030465C"/>
    <w:rsid w:val="0033150A"/>
    <w:rsid w:val="00335E52"/>
    <w:rsid w:val="00352868"/>
    <w:rsid w:val="003529C2"/>
    <w:rsid w:val="00361035"/>
    <w:rsid w:val="003735C4"/>
    <w:rsid w:val="003750F3"/>
    <w:rsid w:val="00393654"/>
    <w:rsid w:val="003C2B12"/>
    <w:rsid w:val="003C5B1E"/>
    <w:rsid w:val="003D0C9C"/>
    <w:rsid w:val="003D5A4B"/>
    <w:rsid w:val="003E30D3"/>
    <w:rsid w:val="004157F0"/>
    <w:rsid w:val="00422E8C"/>
    <w:rsid w:val="00435DC8"/>
    <w:rsid w:val="00447F76"/>
    <w:rsid w:val="00453D3B"/>
    <w:rsid w:val="00473B4B"/>
    <w:rsid w:val="00477795"/>
    <w:rsid w:val="004800A7"/>
    <w:rsid w:val="00492BF4"/>
    <w:rsid w:val="004A47AD"/>
    <w:rsid w:val="004D27AC"/>
    <w:rsid w:val="004D4D5B"/>
    <w:rsid w:val="004F3ABB"/>
    <w:rsid w:val="005063D2"/>
    <w:rsid w:val="0051368F"/>
    <w:rsid w:val="00524241"/>
    <w:rsid w:val="00530104"/>
    <w:rsid w:val="005311F2"/>
    <w:rsid w:val="005327E3"/>
    <w:rsid w:val="00537FFE"/>
    <w:rsid w:val="00563C49"/>
    <w:rsid w:val="0058233B"/>
    <w:rsid w:val="00590859"/>
    <w:rsid w:val="005A4077"/>
    <w:rsid w:val="005A7180"/>
    <w:rsid w:val="005B0495"/>
    <w:rsid w:val="005C0923"/>
    <w:rsid w:val="005D1F0E"/>
    <w:rsid w:val="005D574A"/>
    <w:rsid w:val="006060C2"/>
    <w:rsid w:val="00624F55"/>
    <w:rsid w:val="006277FC"/>
    <w:rsid w:val="00642E62"/>
    <w:rsid w:val="00650562"/>
    <w:rsid w:val="00664CC1"/>
    <w:rsid w:val="00665305"/>
    <w:rsid w:val="00667627"/>
    <w:rsid w:val="006804AE"/>
    <w:rsid w:val="0069454B"/>
    <w:rsid w:val="00695A2B"/>
    <w:rsid w:val="006A2C43"/>
    <w:rsid w:val="006A53F2"/>
    <w:rsid w:val="006B6A70"/>
    <w:rsid w:val="006C1376"/>
    <w:rsid w:val="006C7AFE"/>
    <w:rsid w:val="006D726A"/>
    <w:rsid w:val="006E5AAD"/>
    <w:rsid w:val="006F1638"/>
    <w:rsid w:val="006F7C35"/>
    <w:rsid w:val="00706968"/>
    <w:rsid w:val="00710627"/>
    <w:rsid w:val="0073243D"/>
    <w:rsid w:val="00736C2B"/>
    <w:rsid w:val="007378E2"/>
    <w:rsid w:val="00740E6A"/>
    <w:rsid w:val="00774FBD"/>
    <w:rsid w:val="00776964"/>
    <w:rsid w:val="007B73F9"/>
    <w:rsid w:val="007C7A3F"/>
    <w:rsid w:val="007E5E06"/>
    <w:rsid w:val="007E7E60"/>
    <w:rsid w:val="007F037B"/>
    <w:rsid w:val="007F6AED"/>
    <w:rsid w:val="00826188"/>
    <w:rsid w:val="008416CC"/>
    <w:rsid w:val="00853A72"/>
    <w:rsid w:val="008613D8"/>
    <w:rsid w:val="00862D04"/>
    <w:rsid w:val="008637A6"/>
    <w:rsid w:val="0087194D"/>
    <w:rsid w:val="0087271F"/>
    <w:rsid w:val="0088280E"/>
    <w:rsid w:val="00887324"/>
    <w:rsid w:val="00895110"/>
    <w:rsid w:val="008A2768"/>
    <w:rsid w:val="008A4A6F"/>
    <w:rsid w:val="008B4A77"/>
    <w:rsid w:val="008C1233"/>
    <w:rsid w:val="008D5776"/>
    <w:rsid w:val="008F4127"/>
    <w:rsid w:val="00924E6F"/>
    <w:rsid w:val="0093237B"/>
    <w:rsid w:val="00943F07"/>
    <w:rsid w:val="009558F6"/>
    <w:rsid w:val="00956E94"/>
    <w:rsid w:val="009630B9"/>
    <w:rsid w:val="0097202C"/>
    <w:rsid w:val="00993613"/>
    <w:rsid w:val="009A679B"/>
    <w:rsid w:val="009B12C7"/>
    <w:rsid w:val="009B2123"/>
    <w:rsid w:val="009B75D6"/>
    <w:rsid w:val="009C168A"/>
    <w:rsid w:val="009C6267"/>
    <w:rsid w:val="009D468F"/>
    <w:rsid w:val="009E0210"/>
    <w:rsid w:val="009E11E0"/>
    <w:rsid w:val="00A27F7D"/>
    <w:rsid w:val="00A30A58"/>
    <w:rsid w:val="00A3314E"/>
    <w:rsid w:val="00A52CA0"/>
    <w:rsid w:val="00A6291E"/>
    <w:rsid w:val="00A62EDB"/>
    <w:rsid w:val="00A74A58"/>
    <w:rsid w:val="00A77E45"/>
    <w:rsid w:val="00AA30EC"/>
    <w:rsid w:val="00AA6628"/>
    <w:rsid w:val="00AA6E6A"/>
    <w:rsid w:val="00AA7266"/>
    <w:rsid w:val="00AA7FF0"/>
    <w:rsid w:val="00AB52D2"/>
    <w:rsid w:val="00AC251D"/>
    <w:rsid w:val="00AC7095"/>
    <w:rsid w:val="00AE1931"/>
    <w:rsid w:val="00AF179D"/>
    <w:rsid w:val="00B05042"/>
    <w:rsid w:val="00B05182"/>
    <w:rsid w:val="00B05CD3"/>
    <w:rsid w:val="00B20AE6"/>
    <w:rsid w:val="00B239DC"/>
    <w:rsid w:val="00B26BE7"/>
    <w:rsid w:val="00B36D56"/>
    <w:rsid w:val="00B42E84"/>
    <w:rsid w:val="00B54DAF"/>
    <w:rsid w:val="00B63728"/>
    <w:rsid w:val="00B70BAA"/>
    <w:rsid w:val="00B86978"/>
    <w:rsid w:val="00B947EF"/>
    <w:rsid w:val="00BB5202"/>
    <w:rsid w:val="00BC4A74"/>
    <w:rsid w:val="00BD2618"/>
    <w:rsid w:val="00BD7458"/>
    <w:rsid w:val="00BE6AF1"/>
    <w:rsid w:val="00C05BB8"/>
    <w:rsid w:val="00C10224"/>
    <w:rsid w:val="00C12438"/>
    <w:rsid w:val="00C15202"/>
    <w:rsid w:val="00C34746"/>
    <w:rsid w:val="00C41E20"/>
    <w:rsid w:val="00C446D3"/>
    <w:rsid w:val="00C62131"/>
    <w:rsid w:val="00C65FAC"/>
    <w:rsid w:val="00C77A09"/>
    <w:rsid w:val="00C80101"/>
    <w:rsid w:val="00C81E8E"/>
    <w:rsid w:val="00C92C08"/>
    <w:rsid w:val="00C92EB2"/>
    <w:rsid w:val="00C958EF"/>
    <w:rsid w:val="00C978D5"/>
    <w:rsid w:val="00CA413F"/>
    <w:rsid w:val="00CA7C31"/>
    <w:rsid w:val="00CB784F"/>
    <w:rsid w:val="00CC3034"/>
    <w:rsid w:val="00CD1386"/>
    <w:rsid w:val="00CE5B31"/>
    <w:rsid w:val="00CE7A41"/>
    <w:rsid w:val="00D00FB8"/>
    <w:rsid w:val="00D101AC"/>
    <w:rsid w:val="00D10DA4"/>
    <w:rsid w:val="00D12BEB"/>
    <w:rsid w:val="00D17E52"/>
    <w:rsid w:val="00D20A38"/>
    <w:rsid w:val="00D230CE"/>
    <w:rsid w:val="00D35D79"/>
    <w:rsid w:val="00D44B54"/>
    <w:rsid w:val="00D50BB2"/>
    <w:rsid w:val="00D62C2B"/>
    <w:rsid w:val="00D63219"/>
    <w:rsid w:val="00D64419"/>
    <w:rsid w:val="00D67E60"/>
    <w:rsid w:val="00D747E3"/>
    <w:rsid w:val="00D76B53"/>
    <w:rsid w:val="00D87779"/>
    <w:rsid w:val="00DB11A2"/>
    <w:rsid w:val="00DB12CC"/>
    <w:rsid w:val="00DB2A5F"/>
    <w:rsid w:val="00DB3B25"/>
    <w:rsid w:val="00DB52B1"/>
    <w:rsid w:val="00DC37BE"/>
    <w:rsid w:val="00DD1A54"/>
    <w:rsid w:val="00DD1CA0"/>
    <w:rsid w:val="00DE2A5A"/>
    <w:rsid w:val="00DE79BE"/>
    <w:rsid w:val="00DF12E9"/>
    <w:rsid w:val="00DF1B32"/>
    <w:rsid w:val="00E025C7"/>
    <w:rsid w:val="00E1176E"/>
    <w:rsid w:val="00E11DFD"/>
    <w:rsid w:val="00E3348C"/>
    <w:rsid w:val="00E34BF2"/>
    <w:rsid w:val="00E35980"/>
    <w:rsid w:val="00E35F34"/>
    <w:rsid w:val="00E445FA"/>
    <w:rsid w:val="00E51815"/>
    <w:rsid w:val="00E611EA"/>
    <w:rsid w:val="00E65B10"/>
    <w:rsid w:val="00E95A37"/>
    <w:rsid w:val="00EA2276"/>
    <w:rsid w:val="00EB0D87"/>
    <w:rsid w:val="00EC1682"/>
    <w:rsid w:val="00EC4787"/>
    <w:rsid w:val="00ED2DE9"/>
    <w:rsid w:val="00EE3680"/>
    <w:rsid w:val="00F04685"/>
    <w:rsid w:val="00F10932"/>
    <w:rsid w:val="00F22F60"/>
    <w:rsid w:val="00F25AD9"/>
    <w:rsid w:val="00F516F2"/>
    <w:rsid w:val="00F71CDE"/>
    <w:rsid w:val="00F81273"/>
    <w:rsid w:val="00F84636"/>
    <w:rsid w:val="00F952AE"/>
    <w:rsid w:val="00F958A6"/>
    <w:rsid w:val="00FA3522"/>
    <w:rsid w:val="00FB3429"/>
    <w:rsid w:val="00FD3CD4"/>
    <w:rsid w:val="00FE0740"/>
    <w:rsid w:val="00FE6730"/>
    <w:rsid w:val="00FE70DC"/>
    <w:rsid w:val="00FF5B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FB38B8E"/>
  <w15:chartTrackingRefBased/>
  <w15:docId w15:val="{DF2A5158-3F06-4E80-8553-76144F9F0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黑体" w:hAnsi="Times New Roman" w:cstheme="maj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A4A6F"/>
    <w:pPr>
      <w:spacing w:after="180"/>
    </w:pPr>
  </w:style>
  <w:style w:type="paragraph" w:styleId="Heading1">
    <w:name w:val="heading 1"/>
    <w:aliases w:val="H1,Memo Heading 1,h1 + 11 pt,Before:  6 pt,After:  0 pt"/>
    <w:next w:val="Normal"/>
    <w:link w:val="Heading1Char"/>
    <w:qFormat/>
    <w:rsid w:val="00C81E8E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Wingdings" w:eastAsia="Cambria Math" w:hAnsi="Wingdings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F25AD9"/>
    <w:pPr>
      <w:numPr>
        <w:ilvl w:val="1"/>
      </w:numPr>
      <w:pBdr>
        <w:top w:val="none" w:sz="0" w:space="0" w:color="auto"/>
      </w:pBdr>
      <w:spacing w:before="180"/>
      <w:outlineLvl w:val="1"/>
    </w:pPr>
    <w:rPr>
      <w:rFonts w:ascii="Arial" w:eastAsia="Arial" w:hAnsi="Arial"/>
      <w:sz w:val="32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Heading2"/>
    <w:next w:val="Normal"/>
    <w:link w:val="Heading3Char"/>
    <w:qFormat/>
    <w:rsid w:val="00C81E8E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C81E8E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C81E8E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qFormat/>
    <w:rsid w:val="00C81E8E"/>
    <w:pPr>
      <w:keepNext/>
      <w:keepLines/>
      <w:numPr>
        <w:ilvl w:val="6"/>
        <w:numId w:val="1"/>
      </w:numPr>
      <w:spacing w:before="120"/>
      <w:outlineLvl w:val="6"/>
    </w:pPr>
    <w:rPr>
      <w:rFonts w:ascii="Wingdings" w:eastAsia="Cambria Math" w:hAnsi="Wingdings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C81E8E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C81E8E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8A4A6F"/>
    <w:pPr>
      <w:widowControl w:val="0"/>
    </w:pPr>
    <w:rPr>
      <w:rFonts w:ascii="Wingdings" w:hAnsi="Wingdings"/>
      <w:b/>
      <w:noProof/>
      <w:sz w:val="18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8A4A6F"/>
    <w:rPr>
      <w:rFonts w:ascii="Wingdings" w:eastAsia="宋体" w:hAnsi="Wingdings" w:cs="Wingdings"/>
      <w:b/>
      <w:noProof/>
      <w:sz w:val="18"/>
    </w:rPr>
  </w:style>
  <w:style w:type="paragraph" w:styleId="Footer">
    <w:name w:val="footer"/>
    <w:basedOn w:val="Header"/>
    <w:link w:val="FooterChar"/>
    <w:rsid w:val="008A4A6F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8A4A6F"/>
    <w:rPr>
      <w:rFonts w:ascii="Wingdings" w:eastAsia="宋体" w:hAnsi="Wingdings" w:cs="Wingdings"/>
      <w:b/>
      <w:i/>
      <w:noProof/>
      <w:sz w:val="18"/>
    </w:rPr>
  </w:style>
  <w:style w:type="paragraph" w:customStyle="1" w:styleId="CRCoverPage">
    <w:name w:val="CR Cover Page"/>
    <w:rsid w:val="008A4A6F"/>
    <w:pPr>
      <w:spacing w:after="120"/>
    </w:pPr>
    <w:rPr>
      <w:rFonts w:ascii="Wingdings" w:hAnsi="Wingdings"/>
      <w:lang w:val="en-GB" w:eastAsia="en-US"/>
    </w:rPr>
  </w:style>
  <w:style w:type="character" w:customStyle="1" w:styleId="Heading1Char">
    <w:name w:val="Heading 1 Char"/>
    <w:aliases w:val="H1 Char,Memo Heading 1 Char,h1 + 11 pt Char,Before:  6 pt Char,After:  0 pt Char"/>
    <w:basedOn w:val="DefaultParagraphFont"/>
    <w:link w:val="Heading1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F25AD9"/>
    <w:rPr>
      <w:rFonts w:ascii="Arial" w:eastAsia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rsid w:val="00C81E8E"/>
    <w:rPr>
      <w:rFonts w:ascii="Wingdings" w:eastAsia="Cambria Math" w:hAnsi="Wingdings" w:cs="Wingdings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C81E8E"/>
    <w:rPr>
      <w:rFonts w:ascii="Wingdings" w:eastAsia="Cambria Math" w:hAnsi="Wingdings" w:cs="Wingdings"/>
      <w:sz w:val="24"/>
      <w:lang w:val="en-GB" w:eastAsia="en-US"/>
    </w:rPr>
  </w:style>
  <w:style w:type="character" w:customStyle="1" w:styleId="Heading5Char">
    <w:name w:val="Heading 5 Char"/>
    <w:aliases w:val="h5 Char,Heading5 Char"/>
    <w:basedOn w:val="DefaultParagraphFont"/>
    <w:link w:val="Heading5"/>
    <w:rsid w:val="00C81E8E"/>
    <w:rPr>
      <w:rFonts w:ascii="Wingdings" w:eastAsia="Cambria Math" w:hAnsi="Wingdings" w:cs="Wingdings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81E8E"/>
    <w:rPr>
      <w:rFonts w:ascii="Wingdings" w:eastAsia="Cambria Math" w:hAnsi="Wingdings" w:cs="Wingdings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81E8E"/>
    <w:rPr>
      <w:rFonts w:ascii="Wingdings" w:eastAsia="Cambria Math" w:hAnsi="Wingdings" w:cs="Wingdings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81E8E"/>
    <w:rPr>
      <w:rFonts w:ascii="Wingdings" w:eastAsia="Cambria Math" w:hAnsi="Wingdings" w:cs="Wingdings"/>
      <w:sz w:val="36"/>
      <w:lang w:val="en-GB" w:eastAsia="en-US"/>
    </w:rPr>
  </w:style>
  <w:style w:type="paragraph" w:customStyle="1" w:styleId="TAC">
    <w:name w:val="TAC"/>
    <w:basedOn w:val="Normal"/>
    <w:link w:val="TACChar"/>
    <w:rsid w:val="0097202C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 w:cs="Times New Roman"/>
      <w:sz w:val="18"/>
      <w:lang w:val="en-GB" w:eastAsia="x-none"/>
    </w:rPr>
  </w:style>
  <w:style w:type="character" w:customStyle="1" w:styleId="TACChar">
    <w:name w:val="TAC Char"/>
    <w:link w:val="TAC"/>
    <w:rsid w:val="0097202C"/>
    <w:rPr>
      <w:rFonts w:ascii="Arial" w:eastAsia="Times New Roman" w:hAnsi="Arial" w:cs="Times New Roman"/>
      <w:sz w:val="18"/>
      <w:lang w:val="en-GB" w:eastAsia="x-none"/>
    </w:rPr>
  </w:style>
  <w:style w:type="paragraph" w:customStyle="1" w:styleId="TH">
    <w:name w:val="TH"/>
    <w:basedOn w:val="Normal"/>
    <w:link w:val="THChar"/>
    <w:rsid w:val="0097202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 w:cs="Times New Roman"/>
      <w:b/>
      <w:lang w:val="en-GB" w:eastAsia="x-none"/>
    </w:rPr>
  </w:style>
  <w:style w:type="character" w:customStyle="1" w:styleId="THChar">
    <w:name w:val="TH Char"/>
    <w:link w:val="TH"/>
    <w:rsid w:val="0097202C"/>
    <w:rPr>
      <w:rFonts w:ascii="Arial" w:eastAsia="Times New Roman" w:hAnsi="Arial" w:cs="Times New Roman"/>
      <w:b/>
      <w:lang w:val="en-GB" w:eastAsia="x-none"/>
    </w:rPr>
  </w:style>
  <w:style w:type="paragraph" w:customStyle="1" w:styleId="TAH">
    <w:name w:val="TAH"/>
    <w:basedOn w:val="TAC"/>
    <w:link w:val="TAHCar"/>
    <w:rsid w:val="0097202C"/>
    <w:rPr>
      <w:b/>
    </w:rPr>
  </w:style>
  <w:style w:type="character" w:customStyle="1" w:styleId="TAHCar">
    <w:name w:val="TAH Car"/>
    <w:link w:val="TAH"/>
    <w:rsid w:val="0097202C"/>
    <w:rPr>
      <w:rFonts w:ascii="Arial" w:eastAsia="Times New Roman" w:hAnsi="Arial" w:cs="Times New Roman"/>
      <w:b/>
      <w:sz w:val="18"/>
      <w:lang w:val="en-GB" w:eastAsia="x-none"/>
    </w:rPr>
  </w:style>
  <w:style w:type="paragraph" w:styleId="Caption">
    <w:name w:val="caption"/>
    <w:basedOn w:val="Normal"/>
    <w:next w:val="Normal"/>
    <w:uiPriority w:val="35"/>
    <w:unhideWhenUsed/>
    <w:qFormat/>
    <w:rsid w:val="0097202C"/>
    <w:rPr>
      <w:rFonts w:asciiTheme="majorHAnsi" w:hAnsiTheme="majorHAnsi"/>
    </w:rPr>
  </w:style>
  <w:style w:type="character" w:styleId="CommentReference">
    <w:name w:val="annotation reference"/>
    <w:basedOn w:val="DefaultParagraphFont"/>
    <w:uiPriority w:val="99"/>
    <w:semiHidden/>
    <w:unhideWhenUsed/>
    <w:rsid w:val="00477795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77795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7779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779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779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77795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77795"/>
    <w:rPr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9A679B"/>
    <w:pPr>
      <w:ind w:firstLineChars="200" w:firstLine="420"/>
    </w:pPr>
  </w:style>
  <w:style w:type="table" w:styleId="TableGrid">
    <w:name w:val="Table Grid"/>
    <w:basedOn w:val="TableNormal"/>
    <w:uiPriority w:val="39"/>
    <w:rsid w:val="002163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F">
    <w:name w:val="TF"/>
    <w:aliases w:val="left"/>
    <w:basedOn w:val="TH"/>
    <w:link w:val="TFChar"/>
    <w:rsid w:val="003E30D3"/>
    <w:pPr>
      <w:keepNext w:val="0"/>
      <w:overflowPunct/>
      <w:autoSpaceDE/>
      <w:autoSpaceDN/>
      <w:adjustRightInd/>
      <w:spacing w:before="0" w:after="240"/>
      <w:textAlignment w:val="auto"/>
    </w:pPr>
    <w:rPr>
      <w:rFonts w:eastAsia="MS Mincho"/>
      <w:lang w:eastAsia="en-US"/>
    </w:rPr>
  </w:style>
  <w:style w:type="character" w:customStyle="1" w:styleId="TFChar">
    <w:name w:val="TF Char"/>
    <w:basedOn w:val="DefaultParagraphFont"/>
    <w:link w:val="TF"/>
    <w:rsid w:val="003E30D3"/>
    <w:rPr>
      <w:rFonts w:ascii="Arial" w:eastAsia="MS Mincho" w:hAnsi="Arial" w:cs="Times New Roman"/>
      <w:b/>
      <w:lang w:val="en-GB" w:eastAsia="en-US"/>
    </w:rPr>
  </w:style>
  <w:style w:type="paragraph" w:customStyle="1" w:styleId="B1">
    <w:name w:val="B1"/>
    <w:basedOn w:val="List"/>
    <w:link w:val="B1Zchn"/>
    <w:rsid w:val="00DB3B25"/>
    <w:pPr>
      <w:ind w:left="568" w:firstLineChars="0" w:hanging="284"/>
      <w:contextualSpacing w:val="0"/>
    </w:pPr>
    <w:rPr>
      <w:rFonts w:eastAsia="MS Mincho" w:cs="Times New Roman"/>
      <w:lang w:val="en-GB" w:eastAsia="en-US"/>
    </w:rPr>
  </w:style>
  <w:style w:type="character" w:customStyle="1" w:styleId="B1Zchn">
    <w:name w:val="B1 Zchn"/>
    <w:basedOn w:val="DefaultParagraphFont"/>
    <w:link w:val="B1"/>
    <w:rsid w:val="00DB3B25"/>
    <w:rPr>
      <w:rFonts w:eastAsia="MS Mincho" w:cs="Times New Roman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DB3B25"/>
    <w:pPr>
      <w:ind w:left="200" w:hangingChars="200" w:hanging="200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001017"/>
  </w:style>
  <w:style w:type="paragraph" w:customStyle="1" w:styleId="TAL">
    <w:name w:val="TAL"/>
    <w:basedOn w:val="Normal"/>
    <w:link w:val="TALChar"/>
    <w:rsid w:val="00C92C08"/>
    <w:pPr>
      <w:keepNext/>
      <w:keepLines/>
      <w:spacing w:after="0"/>
    </w:pPr>
    <w:rPr>
      <w:rFonts w:ascii="Arial" w:eastAsiaTheme="minorEastAsia" w:hAnsi="Arial" w:cs="Times New Roman"/>
      <w:sz w:val="18"/>
      <w:lang w:val="en-GB" w:eastAsia="en-US"/>
    </w:rPr>
  </w:style>
  <w:style w:type="character" w:customStyle="1" w:styleId="TALChar">
    <w:name w:val="TAL Char"/>
    <w:link w:val="TAL"/>
    <w:locked/>
    <w:rsid w:val="00C92C08"/>
    <w:rPr>
      <w:rFonts w:ascii="Arial" w:eastAsiaTheme="minorEastAsia" w:hAnsi="Arial" w:cs="Times New Roman"/>
      <w:sz w:val="18"/>
      <w:lang w:val="en-GB" w:eastAsia="en-US"/>
    </w:rPr>
  </w:style>
  <w:style w:type="character" w:customStyle="1" w:styleId="textblue2">
    <w:name w:val="text_blue2"/>
    <w:basedOn w:val="DefaultParagraphFont"/>
    <w:rsid w:val="00FE6730"/>
  </w:style>
  <w:style w:type="character" w:customStyle="1" w:styleId="B1Char1">
    <w:name w:val="B1 Char1"/>
    <w:rsid w:val="00EC4787"/>
    <w:rPr>
      <w:rFonts w:eastAsia="Times New Roman"/>
    </w:rPr>
  </w:style>
  <w:style w:type="paragraph" w:customStyle="1" w:styleId="B2">
    <w:name w:val="B2"/>
    <w:basedOn w:val="List2"/>
    <w:rsid w:val="00EC4787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paragraph" w:customStyle="1" w:styleId="B3">
    <w:name w:val="B3"/>
    <w:basedOn w:val="List3"/>
    <w:link w:val="B3Char"/>
    <w:rsid w:val="00EC4787"/>
    <w:pPr>
      <w:overflowPunct w:val="0"/>
      <w:autoSpaceDE w:val="0"/>
      <w:autoSpaceDN w:val="0"/>
      <w:adjustRightInd w:val="0"/>
      <w:ind w:leftChars="0" w:left="1135" w:firstLineChars="0" w:hanging="284"/>
      <w:contextualSpacing w:val="0"/>
      <w:textAlignment w:val="baseline"/>
    </w:pPr>
    <w:rPr>
      <w:rFonts w:eastAsia="Times New Roman" w:cs="Times New Roman"/>
      <w:lang w:val="en-GB" w:eastAsia="en-GB"/>
    </w:rPr>
  </w:style>
  <w:style w:type="character" w:customStyle="1" w:styleId="B3Char">
    <w:name w:val="B3 Char"/>
    <w:link w:val="B3"/>
    <w:rsid w:val="00EC4787"/>
    <w:rPr>
      <w:rFonts w:eastAsia="Times New Roman" w:cs="Times New Roman"/>
      <w:lang w:val="en-GB" w:eastAsia="en-GB"/>
    </w:rPr>
  </w:style>
  <w:style w:type="paragraph" w:styleId="List2">
    <w:name w:val="List 2"/>
    <w:basedOn w:val="Normal"/>
    <w:uiPriority w:val="99"/>
    <w:semiHidden/>
    <w:unhideWhenUsed/>
    <w:rsid w:val="00EC4787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EC4787"/>
    <w:pPr>
      <w:ind w:leftChars="400" w:left="100" w:hangingChars="200" w:hanging="200"/>
      <w:contextualSpacing/>
    </w:pPr>
  </w:style>
  <w:style w:type="character" w:styleId="PlaceholderText">
    <w:name w:val="Placeholder Text"/>
    <w:basedOn w:val="DefaultParagraphFont"/>
    <w:uiPriority w:val="99"/>
    <w:semiHidden/>
    <w:rsid w:val="00D64419"/>
    <w:rPr>
      <w:color w:val="808080"/>
    </w:rPr>
  </w:style>
  <w:style w:type="character" w:styleId="Hyperlink">
    <w:name w:val="Hyperlink"/>
    <w:uiPriority w:val="99"/>
    <w:unhideWhenUsed/>
    <w:rsid w:val="00993613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0F2281"/>
    <w:pPr>
      <w:spacing w:before="100" w:beforeAutospacing="1" w:after="100" w:afterAutospacing="1"/>
    </w:pPr>
    <w:rPr>
      <w:rFonts w:ascii="宋体" w:eastAsia="宋体" w:hAnsi="宋体" w:cs="宋体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516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37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204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026609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9771684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583421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0942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01489622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77423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19789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3217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25002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5053899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82064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6386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86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0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30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0746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6785810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1953367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203059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2948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281408">
                  <w:marLeft w:val="0"/>
                  <w:marRight w:val="0"/>
                  <w:marTop w:val="180"/>
                  <w:marBottom w:val="24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787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0541113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127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085906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21318497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10180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74E35AC-A0F5-43D7-9EF2-199C3F7F14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239</TotalTime>
  <Pages>4</Pages>
  <Words>1378</Words>
  <Characters>7857</Characters>
  <Application>Microsoft Office Word</Application>
  <DocSecurity>0</DocSecurity>
  <Lines>65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9217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6</cp:revision>
  <dcterms:created xsi:type="dcterms:W3CDTF">2017-08-07T12:01:00Z</dcterms:created>
  <dcterms:modified xsi:type="dcterms:W3CDTF">2017-08-11T13:36:00Z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(3)e/WHwgWRG++hELwR/lyRX86X67u4cTZ7puImMWTebP4bdKLkp4xMFOAGJ8N6jG285V0crIjN
mJZCDfruw9+j+oqni5sGFVGUVADFlcOHMtsK+SYgugjqs7iU9CrILdZxaE6uqOHevXB+sQD0
EtNJPT78JYE81i9/OCpzuHyiIQMdFD4vlSTA+2lDkolB6z7iuUGlZizlMHGNM9DG2pf3OYCv
nrw34Xo2OkK4vRwagS</vt:lpwstr>
  </property>
  <property fmtid="{D5CDD505-2E9C-101B-9397-08002B2CF9AE}" pid="3" name="_2015_ms_pID_7253431">
    <vt:lpwstr>cOMwTTTmRMVMcmSgR2ar/dRHUnK3HIpgQDqdwP627S/VfB30yqq9ZG
criORY24WzwOlyBhutfhKNweMJpzPmmTZl1rnNKgJvmvevK8uVkKvIxEsGdbhImRxj4dzAjM
iGwH553uGp71s38uJxxP5SzTZSxyagb7f3hrLV5LxTxonU2FyjHZpnYrPhJWzqZnWOJhuVaB
P04SB4PbKy8r6Ay3XpvPvDmQ8wDXNVKHCn5j</vt:lpwstr>
  </property>
  <property fmtid="{D5CDD505-2E9C-101B-9397-08002B2CF9AE}" pid="4" name="_2015_ms_pID_7253432">
    <vt:lpwstr>pw==</vt:lpwstr>
  </property>
</Properties>
</file>